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11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2385"/>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Farkas Charles</w:t>
              </w:r>
            </w:hyperlink>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CONMED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CNMD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12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20" w:type="dxa"/>
            <w:vAlign w:val="bottom"/>
            <w:gridSpan w:val="2"/>
          </w:tcPr>
          <w:p>
            <w:pPr>
              <w:spacing w:after="0"/>
              <w:rPr>
                <w:sz w:val="6"/>
                <w:szCs w:val="6"/>
                <w:color w:val="auto"/>
              </w:rPr>
            </w:pPr>
          </w:p>
        </w:tc>
        <w:tc>
          <w:tcPr>
            <w:tcW w:w="12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09/05/2024</w:t>
            </w:r>
          </w:p>
        </w:tc>
        <w:tc>
          <w:tcPr>
            <w:tcW w:w="24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CONMED CORPORATION</w:t>
            </w:r>
          </w:p>
        </w:tc>
        <w:tc>
          <w:tcPr>
            <w:tcW w:w="12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2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11311 CONCEPT BOULEVARD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LARGO</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33773</w:t>
            </w:r>
          </w:p>
        </w:tc>
      </w:tr>
      <w:tr>
        <w:trPr>
          <w:trHeight w:val="147"/>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09/05/2024</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39.64</w:t>
            </w: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20,880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09/05/2024</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F</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534</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74.31</w:t>
            </w: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20,346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SARs (Stock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06/01/2015</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39.64</w:t>
            </w:r>
          </w:p>
        </w:tc>
        <w:tc>
          <w:tcPr>
            <w:tcW w:w="108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09/05/2024</w:t>
            </w:r>
          </w:p>
        </w:tc>
        <w:tc>
          <w:tcPr>
            <w:tcW w:w="1080" w:type="dxa"/>
            <w:vAlign w:val="bottom"/>
          </w:tcPr>
          <w:p>
            <w:pPr>
              <w:spacing w:after="0"/>
              <w:rPr>
                <w:sz w:val="5"/>
                <w:szCs w:val="5"/>
                <w:color w:val="auto"/>
              </w:rPr>
            </w:pPr>
          </w:p>
        </w:tc>
        <w:tc>
          <w:tcPr>
            <w:tcW w:w="6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1,000</w:t>
            </w:r>
          </w:p>
        </w:tc>
        <w:tc>
          <w:tcPr>
            <w:tcW w:w="880" w:type="dxa"/>
            <w:vAlign w:val="bottom"/>
            <w:gridSpan w:val="2"/>
            <w:vMerge w:val="continue"/>
          </w:tcPr>
          <w:p>
            <w:pPr>
              <w:spacing w:after="0"/>
              <w:rPr>
                <w:sz w:val="5"/>
                <w:szCs w:val="5"/>
                <w:color w:val="auto"/>
              </w:rPr>
            </w:pPr>
          </w:p>
        </w:tc>
        <w:tc>
          <w:tcPr>
            <w:tcW w:w="66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09/11/2024</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-2072640</wp:posOffset>
            </wp:positionV>
            <wp:extent cx="29210" cy="2078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783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0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appreciation rights ("SARs") were granted under the Company's 2007 Amended and Restated Non-Employee Director Equity Compensation Plan, with the SARs vesting on June 1, 2015 and expiring on September 11, 2024.</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Fistek for Charles</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09/09/2024</w:t>
            </w:r>
          </w:p>
        </w:tc>
        <w:tc>
          <w:tcPr>
            <w:tcW w:w="0" w:type="dxa"/>
            <w:vAlign w:val="bottom"/>
          </w:tcPr>
          <w:p>
            <w:pPr>
              <w:spacing w:after="0"/>
              <w:rPr>
                <w:sz w:val="1"/>
                <w:szCs w:val="1"/>
                <w:color w:val="auto"/>
              </w:rPr>
            </w:pPr>
          </w:p>
        </w:tc>
      </w:tr>
      <w:tr>
        <w:trPr>
          <w:trHeight w:val="82"/>
        </w:trPr>
        <w:tc>
          <w:tcPr>
            <w:tcW w:w="196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8"/>
              </w:rPr>
              <w:t>Farkas by Power of Attorney</w:t>
            </w: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gridSpan w:val="2"/>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CONMED CORPORATI0N</w:t>
      </w:r>
    </w:p>
    <w:p>
      <w:pPr>
        <w:spacing w:after="0" w:line="29" w:lineRule="exact"/>
        <w:rPr>
          <w:sz w:val="20"/>
          <w:szCs w:val="20"/>
          <w:color w:val="auto"/>
        </w:rPr>
      </w:pPr>
    </w:p>
    <w:p>
      <w:pPr>
        <w:ind w:right="2519"/>
        <w:spacing w:after="0" w:line="238" w:lineRule="auto"/>
        <w:rPr>
          <w:sz w:val="20"/>
          <w:szCs w:val="20"/>
          <w:color w:val="auto"/>
        </w:rPr>
      </w:pPr>
      <w:r>
        <w:rPr>
          <w:rFonts w:ascii="Courier New" w:cs="Courier New" w:eastAsia="Courier New" w:hAnsi="Courier New"/>
          <w:sz w:val="17"/>
          <w:szCs w:val="17"/>
          <w:color w:val="auto"/>
        </w:rPr>
        <w:t>LIMITED ?POWER OF ATTORNEY FOR SECTION 16 AND RULE 144 FILINGS AND LOCK? UP AGREEMENTS</w:t>
      </w:r>
    </w:p>
    <w:p>
      <w:pPr>
        <w:spacing w:after="0" w:line="1" w:lineRule="exact"/>
        <w:rPr>
          <w:sz w:val="20"/>
          <w:szCs w:val="20"/>
          <w:color w:val="auto"/>
        </w:rPr>
      </w:pPr>
    </w:p>
    <w:p>
      <w:pPr>
        <w:ind w:right="2119"/>
        <w:spacing w:after="0" w:line="25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the following attorneys of CONMED Corporation (the "Company"): Thomas Fistek, Chief Counsel; Amber Straub, Counsel, Operations; Johonna Pelletier, Treasurer and Vice President Tax; Eric Staves, Vice President Corporate Finance; Kim Lockwood, Director Financial Reporting; Erica Chambers, Sr. Director Compensation and Business Process; Julie Hall, Manager Legal Operations and ESG; Celeste Templeton, Manager Compensation, and Michele Caiola, Paralegal, as the undersigned's true and lawful attorney-in-fact to:</w:t>
      </w:r>
    </w:p>
    <w:p>
      <w:pPr>
        <w:spacing w:after="0" w:line="5" w:lineRule="exact"/>
        <w:rPr>
          <w:sz w:val="20"/>
          <w:szCs w:val="20"/>
          <w:color w:val="auto"/>
        </w:rPr>
      </w:pPr>
    </w:p>
    <w:p>
      <w:pPr>
        <w:ind w:right="1719" w:firstLine="2"/>
        <w:spacing w:after="0" w:line="253" w:lineRule="auto"/>
        <w:tabs>
          <w:tab w:leader="none" w:pos="79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or director or both of the Company, Forms 3, 4. and 5 (and any amendments thereto) in accordance with Section 16(a) of the Securities Exchange Act of 1934, as amended and the rules and regulations promulgated thereunder</w:t>
      </w:r>
    </w:p>
    <w:p>
      <w:pPr>
        <w:spacing w:after="0" w:line="2" w:lineRule="exact"/>
        <w:rPr>
          <w:rFonts w:ascii="Courier New" w:cs="Courier New" w:eastAsia="Courier New" w:hAnsi="Courier New"/>
          <w:sz w:val="16"/>
          <w:szCs w:val="16"/>
          <w:color w:val="auto"/>
        </w:rPr>
      </w:pPr>
    </w:p>
    <w:p>
      <w:pPr>
        <w:ind w:right="21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Act"),, and any Form 144 under the Securities Act of 1933, as amended, as well as any Lock-Up Agreements; 2. do and perform any and all acts for and on behalf of the undersigned which may be necessary or desirable to complete and execute any such Form 3, 4, 5, Form 144 Notice or Lock-Up Agreements, complete and execute any amendments thereto, and timely file such form, with all amendments, supplements and exhibits thereto, with the Securities and Exchange Commission and any securities exchange or similar authority; 3. seek or obtain, as the undersigned's representative and on .the undersigned's behalf, information on transactions in the Campany's securities from any third company, including but not limited to brokers, employee benefit plan administrators and trustees, and the undersigned hereby authorizes. any such person to release any such information to each of the undersigned's attorneys-in-fact appointed by this Limited Power of Attorney and approves and</w:t>
      </w:r>
    </w:p>
    <w:p>
      <w:pPr>
        <w:spacing w:after="0" w:line="7" w:lineRule="exact"/>
        <w:rPr>
          <w:rFonts w:ascii="Courier New" w:cs="Courier New" w:eastAsia="Courier New" w:hAnsi="Courier New"/>
          <w:sz w:val="16"/>
          <w:szCs w:val="16"/>
          <w:color w:val="auto"/>
        </w:rPr>
      </w:pPr>
    </w:p>
    <w:p>
      <w:pPr>
        <w:ind w:right="201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ratifies any such release of information; and and 4. 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 The undersigned hereby grants to each such attorney-in-fact, acting individually,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 This Limited Power of Attorney shall remain in full force and effect until the undersigned is no longer required to file Fonns?3, 4, 5 and</w:t>
      </w:r>
    </w:p>
    <w:p>
      <w:pPr>
        <w:spacing w:after="0" w:line="188" w:lineRule="exact"/>
        <w:rPr>
          <w:rFonts w:ascii="Courier New" w:cs="Courier New" w:eastAsia="Courier New" w:hAnsi="Courier New"/>
          <w:sz w:val="16"/>
          <w:szCs w:val="16"/>
          <w:color w:val="auto"/>
        </w:rPr>
      </w:pPr>
    </w:p>
    <w:p>
      <w:pPr>
        <w:ind w:right="2119" w:firstLine="2"/>
        <w:spacing w:after="0" w:line="253" w:lineRule="auto"/>
        <w:tabs>
          <w:tab w:leader="none" w:pos="39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tock-Up Agreements with respect to the undersigned's holdings of and transactions in securities issued by the Company, unless earlier revoked by the undersigned in a signed writing delivered to each of the foregoing attorneys-in-fact. IN WITNESS WHEREOF, the undersigned has executed this Limited Power of Attorney as of this 22nd day of March 2024. 2024. Charles M. Farkas Signature Charles M. Farkas Printed Name ACKNOWLEDGEMENT STATEOF Florida</w:t>
      </w:r>
    </w:p>
    <w:tbl>
      <w:tblPr>
        <w:tblLayout w:type="fixed"/>
        <w:tblInd w:w="0" w:type="dxa"/>
        <w:tblCellMar>
          <w:top w:w="0" w:type="dxa"/>
          <w:left w:w="0" w:type="dxa"/>
          <w:bottom w:w="0" w:type="dxa"/>
          <w:right w:w="0" w:type="dxa"/>
        </w:tblCellMar>
      </w:tblPr>
      <w:tr>
        <w:trPr>
          <w:trHeight w:val="165"/>
        </w:trPr>
        <w:tc>
          <w:tcPr>
            <w:tcW w:w="2640" w:type="dxa"/>
            <w:vAlign w:val="bottom"/>
            <w:gridSpan w:val="2"/>
          </w:tcPr>
          <w:p>
            <w:pPr>
              <w:spacing w:after="0" w:line="165" w:lineRule="exact"/>
              <w:rPr>
                <w:sz w:val="20"/>
                <w:szCs w:val="20"/>
                <w:color w:val="auto"/>
              </w:rPr>
            </w:pPr>
            <w:r>
              <w:rPr>
                <w:rFonts w:ascii="Courier New" w:cs="Courier New" w:eastAsia="Courier New" w:hAnsi="Courier New"/>
                <w:sz w:val="17"/>
                <w:szCs w:val="17"/>
                <w:color w:val="auto"/>
              </w:rPr>
              <w:t>COUNTY OF Pinellas On</w:t>
            </w:r>
          </w:p>
        </w:tc>
        <w:tc>
          <w:tcPr>
            <w:tcW w:w="4740" w:type="dxa"/>
            <w:vAlign w:val="bottom"/>
          </w:tcPr>
          <w:p>
            <w:pPr>
              <w:ind w:left="560"/>
              <w:spacing w:after="0" w:line="165" w:lineRule="exact"/>
              <w:rPr>
                <w:sz w:val="20"/>
                <w:szCs w:val="20"/>
                <w:color w:val="auto"/>
              </w:rPr>
            </w:pPr>
            <w:r>
              <w:rPr>
                <w:rFonts w:ascii="Courier New" w:cs="Courier New" w:eastAsia="Courier New" w:hAnsi="Courier New"/>
                <w:sz w:val="17"/>
                <w:szCs w:val="17"/>
                <w:color w:val="auto"/>
                <w:w w:val="99"/>
              </w:rPr>
              <w:t>May 22, 2024, before me, the undersigned,</w:t>
            </w:r>
          </w:p>
        </w:tc>
        <w:tc>
          <w:tcPr>
            <w:tcW w:w="1000" w:type="dxa"/>
            <w:vAlign w:val="bottom"/>
          </w:tcPr>
          <w:p>
            <w:pPr>
              <w:spacing w:after="0" w:line="165" w:lineRule="exact"/>
              <w:rPr>
                <w:sz w:val="20"/>
                <w:szCs w:val="20"/>
                <w:color w:val="auto"/>
              </w:rPr>
            </w:pPr>
            <w:r>
              <w:rPr>
                <w:rFonts w:ascii="Courier New" w:cs="Courier New" w:eastAsia="Courier New" w:hAnsi="Courier New"/>
                <w:sz w:val="17"/>
                <w:szCs w:val="17"/>
                <w:color w:val="auto"/>
                <w:w w:val="96"/>
              </w:rPr>
              <w:t>personally</w:t>
            </w:r>
          </w:p>
        </w:tc>
      </w:tr>
      <w:tr>
        <w:trPr>
          <w:trHeight w:val="192"/>
        </w:trPr>
        <w:tc>
          <w:tcPr>
            <w:tcW w:w="8380" w:type="dxa"/>
            <w:vAlign w:val="bottom"/>
            <w:gridSpan w:val="4"/>
          </w:tcPr>
          <w:p>
            <w:pPr>
              <w:spacing w:after="0"/>
              <w:rPr>
                <w:sz w:val="20"/>
                <w:szCs w:val="20"/>
                <w:color w:val="auto"/>
              </w:rPr>
            </w:pPr>
            <w:r>
              <w:rPr>
                <w:rFonts w:ascii="Courier New" w:cs="Courier New" w:eastAsia="Courier New" w:hAnsi="Courier New"/>
                <w:sz w:val="17"/>
                <w:szCs w:val="17"/>
                <w:color w:val="auto"/>
              </w:rPr>
              <w:t>appeared Charles M. Farkas personally known to me. proved to me on the basis of</w:t>
            </w:r>
          </w:p>
        </w:tc>
      </w:tr>
      <w:tr>
        <w:trPr>
          <w:trHeight w:val="192"/>
        </w:trPr>
        <w:tc>
          <w:tcPr>
            <w:tcW w:w="7380" w:type="dxa"/>
            <w:vAlign w:val="bottom"/>
            <w:gridSpan w:val="3"/>
          </w:tcPr>
          <w:p>
            <w:pPr>
              <w:spacing w:after="0"/>
              <w:rPr>
                <w:sz w:val="20"/>
                <w:szCs w:val="20"/>
                <w:color w:val="auto"/>
              </w:rPr>
            </w:pPr>
            <w:r>
              <w:rPr>
                <w:rFonts w:ascii="Courier New" w:cs="Courier New" w:eastAsia="Courier New" w:hAnsi="Courier New"/>
                <w:sz w:val="17"/>
                <w:szCs w:val="17"/>
                <w:color w:val="auto"/>
                <w:w w:val="97"/>
              </w:rPr>
              <w:t>satisfactory evidence to be the individual whose name is subscribed to the</w:t>
            </w:r>
          </w:p>
        </w:tc>
        <w:tc>
          <w:tcPr>
            <w:tcW w:w="1000" w:type="dxa"/>
            <w:vAlign w:val="bottom"/>
          </w:tcPr>
          <w:p>
            <w:pPr>
              <w:spacing w:after="0"/>
              <w:rPr>
                <w:sz w:val="16"/>
                <w:szCs w:val="16"/>
                <w:color w:val="auto"/>
              </w:rPr>
            </w:pPr>
          </w:p>
        </w:tc>
      </w:tr>
      <w:tr>
        <w:trPr>
          <w:trHeight w:val="192"/>
        </w:trPr>
        <w:tc>
          <w:tcPr>
            <w:tcW w:w="1740" w:type="dxa"/>
            <w:vAlign w:val="bottom"/>
          </w:tcPr>
          <w:p>
            <w:pPr>
              <w:spacing w:after="0"/>
              <w:rPr>
                <w:sz w:val="20"/>
                <w:szCs w:val="20"/>
                <w:color w:val="auto"/>
              </w:rPr>
            </w:pPr>
            <w:r>
              <w:rPr>
                <w:rFonts w:ascii="Courier New" w:cs="Courier New" w:eastAsia="Courier New" w:hAnsi="Courier New"/>
                <w:sz w:val="17"/>
                <w:szCs w:val="17"/>
                <w:color w:val="auto"/>
                <w:w w:val="99"/>
              </w:rPr>
              <w:t>within instrument</w:t>
            </w:r>
          </w:p>
        </w:tc>
        <w:tc>
          <w:tcPr>
            <w:tcW w:w="56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and acknowledged to me that he/she executed the same in</w:t>
            </w:r>
          </w:p>
        </w:tc>
        <w:tc>
          <w:tcPr>
            <w:tcW w:w="1000" w:type="dxa"/>
            <w:vAlign w:val="bottom"/>
          </w:tcPr>
          <w:p>
            <w:pPr>
              <w:spacing w:after="0"/>
              <w:rPr>
                <w:sz w:val="16"/>
                <w:szCs w:val="16"/>
                <w:color w:val="auto"/>
              </w:rPr>
            </w:pPr>
          </w:p>
        </w:tc>
      </w:tr>
      <w:tr>
        <w:trPr>
          <w:trHeight w:val="192"/>
        </w:trPr>
        <w:tc>
          <w:tcPr>
            <w:tcW w:w="1740" w:type="dxa"/>
            <w:vAlign w:val="bottom"/>
          </w:tcPr>
          <w:p>
            <w:pPr>
              <w:spacing w:after="0"/>
              <w:rPr>
                <w:sz w:val="20"/>
                <w:szCs w:val="20"/>
                <w:color w:val="auto"/>
              </w:rPr>
            </w:pPr>
            <w:r>
              <w:rPr>
                <w:rFonts w:ascii="Courier New" w:cs="Courier New" w:eastAsia="Courier New" w:hAnsi="Courier New"/>
                <w:sz w:val="17"/>
                <w:szCs w:val="17"/>
                <w:color w:val="auto"/>
                <w:w w:val="99"/>
              </w:rPr>
              <w:t>his/her capacity,</w:t>
            </w:r>
          </w:p>
        </w:tc>
        <w:tc>
          <w:tcPr>
            <w:tcW w:w="56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that by his/her signature on the instrument, the</w:t>
            </w:r>
          </w:p>
        </w:tc>
        <w:tc>
          <w:tcPr>
            <w:tcW w:w="1000" w:type="dxa"/>
            <w:vAlign w:val="bottom"/>
          </w:tcPr>
          <w:p>
            <w:pPr>
              <w:spacing w:after="0"/>
              <w:rPr>
                <w:sz w:val="16"/>
                <w:szCs w:val="16"/>
                <w:color w:val="auto"/>
              </w:rPr>
            </w:pPr>
          </w:p>
        </w:tc>
      </w:tr>
      <w:tr>
        <w:trPr>
          <w:trHeight w:val="192"/>
        </w:trPr>
        <w:tc>
          <w:tcPr>
            <w:tcW w:w="8380" w:type="dxa"/>
            <w:vAlign w:val="bottom"/>
            <w:gridSpan w:val="4"/>
          </w:tcPr>
          <w:p>
            <w:pPr>
              <w:spacing w:after="0"/>
              <w:rPr>
                <w:sz w:val="20"/>
                <w:szCs w:val="20"/>
                <w:color w:val="auto"/>
              </w:rPr>
            </w:pPr>
            <w:r>
              <w:rPr>
                <w:rFonts w:ascii="Courier New" w:cs="Courier New" w:eastAsia="Courier New" w:hAnsi="Courier New"/>
                <w:sz w:val="17"/>
                <w:szCs w:val="17"/>
                <w:color w:val="auto"/>
              </w:rPr>
              <w:t>individual, or the person upon behalf of which the individual acted, executed</w:t>
            </w:r>
          </w:p>
        </w:tc>
      </w:tr>
      <w:tr>
        <w:trPr>
          <w:trHeight w:val="192"/>
        </w:trPr>
        <w:tc>
          <w:tcPr>
            <w:tcW w:w="1740" w:type="dxa"/>
            <w:vAlign w:val="bottom"/>
          </w:tcPr>
          <w:p>
            <w:pPr>
              <w:spacing w:after="0"/>
              <w:rPr>
                <w:sz w:val="20"/>
                <w:szCs w:val="20"/>
                <w:color w:val="auto"/>
              </w:rPr>
            </w:pPr>
            <w:r>
              <w:rPr>
                <w:rFonts w:ascii="Courier New" w:cs="Courier New" w:eastAsia="Courier New" w:hAnsi="Courier New"/>
                <w:sz w:val="17"/>
                <w:szCs w:val="17"/>
                <w:color w:val="auto"/>
                <w:w w:val="99"/>
              </w:rPr>
              <w:t>the instrument. ?</w:t>
            </w:r>
          </w:p>
        </w:tc>
        <w:tc>
          <w:tcPr>
            <w:tcW w:w="56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Jacqueline A Sinclair Comm: HH 413419 Expires: Jul. 14,</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2027</w:t>
            </w:r>
          </w:p>
        </w:tc>
      </w:tr>
      <w:tr>
        <w:trPr>
          <w:trHeight w:val="280"/>
        </w:trPr>
        <w:tc>
          <w:tcPr>
            <w:tcW w:w="7380" w:type="dxa"/>
            <w:vAlign w:val="bottom"/>
            <w:gridSpan w:val="3"/>
          </w:tcPr>
          <w:p>
            <w:pPr>
              <w:spacing w:after="0"/>
              <w:rPr>
                <w:sz w:val="20"/>
                <w:szCs w:val="20"/>
                <w:color w:val="auto"/>
              </w:rPr>
            </w:pPr>
            <w:r>
              <w:rPr>
                <w:rFonts w:ascii="Courier New" w:cs="Courier New" w:eastAsia="Courier New" w:hAnsi="Courier New"/>
                <w:sz w:val="17"/>
                <w:szCs w:val="17"/>
                <w:color w:val="auto"/>
              </w:rPr>
              <w:t>Notary Public ? State of Florida { HS232643 .1}</w:t>
            </w:r>
          </w:p>
        </w:tc>
        <w:tc>
          <w:tcPr>
            <w:tcW w:w="1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4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5538" TargetMode="External"/><Relationship Id="rId14" Type="http://schemas.openxmlformats.org/officeDocument/2006/relationships/hyperlink" Target="http://www.sec.gov/cgi-bin/browse-edgar?action=getcompany&amp;CIK=0000816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2024-09-09T09:53:50Z</dcterms:created>
  <dcterms:modified xsi:type="dcterms:W3CDTF">2024-09-09T09:53:50Z</dcterms:modified>
</cp:coreProperties>
</file>