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 (d) OF THE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29, 2026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908" w:type="dxa"/>
        <w:jc w:val="left"/>
        <w:tblInd w:w="0" w:type="dxa"/>
        <w:tblLayout w:type="fixed"/>
        <w:tblCellMar>
          <w:top w:w="28" w:type="dxa"/>
          <w:left w:w="28" w:type="dxa"/>
          <w:bottom w:w="28" w:type="dxa"/>
          <w:right w:w="28" w:type="dxa"/>
        </w:tblCellMar>
      </w:tblPr>
      <w:tblGrid>
        <w:gridCol w:w="1795"/>
        <w:gridCol w:w="1577"/>
        <w:gridCol w:w="1593"/>
        <w:gridCol w:w="762"/>
        <w:gridCol w:w="762"/>
        <w:gridCol w:w="770"/>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001-39218</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16-0977505</w:t>
            </w:r>
          </w:p>
        </w:tc>
      </w:tr>
      <w:tr>
        <w:trPr/>
        <w:tc>
          <w:tcPr>
            <w:tcW w:w="4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before="0" w:after="0"/>
        <w:jc w:val="left"/>
        <w:rPr/>
      </w:pPr>
      <w:r>
        <w:rPr/>
      </w:r>
    </w:p>
    <w:tbl>
      <w:tblPr>
        <w:tblW w:w="4290" w:type="dxa"/>
        <w:jc w:val="left"/>
        <w:tblInd w:w="0" w:type="dxa"/>
        <w:tblLayout w:type="fixed"/>
        <w:tblCellMar>
          <w:top w:w="28" w:type="dxa"/>
          <w:left w:w="28" w:type="dxa"/>
          <w:bottom w:w="28" w:type="dxa"/>
          <w:right w:w="28" w:type="dxa"/>
        </w:tblCellMar>
      </w:tblPr>
      <w:tblGrid>
        <w:gridCol w:w="1196"/>
        <w:gridCol w:w="1050"/>
        <w:gridCol w:w="1054"/>
        <w:gridCol w:w="290"/>
        <w:gridCol w:w="290"/>
        <w:gridCol w:w="410"/>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11311 Concept Blvd</w:t>
            </w:r>
          </w:p>
          <w:p>
            <w:pPr>
              <w:pStyle w:val="TableContents"/>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Largo, FL</w:t>
            </w:r>
          </w:p>
        </w:tc>
        <w:tc>
          <w:tcPr>
            <w:tcW w:w="9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33773</w:t>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(727) 392-6464</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 (See General Instruction A.2 below):</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Rule 12(b) of the Act</w:t>
      </w:r>
    </w:p>
    <w:p>
      <w:pPr>
        <w:pStyle w:val="TextBody"/>
        <w:bidi w:val="0"/>
        <w:spacing w:before="0" w:after="0"/>
        <w:jc w:val="left"/>
        <w:rPr/>
      </w:pPr>
      <w:r>
        <w:rPr/>
      </w:r>
    </w:p>
    <w:tbl>
      <w:tblPr>
        <w:tblW w:w="7858" w:type="dxa"/>
        <w:jc w:val="center"/>
        <w:tblInd w:w="0" w:type="dxa"/>
        <w:tblLayout w:type="fixed"/>
        <w:tblCellMar>
          <w:top w:w="28" w:type="dxa"/>
          <w:left w:w="28" w:type="dxa"/>
          <w:bottom w:w="28" w:type="dxa"/>
          <w:right w:w="28" w:type="dxa"/>
        </w:tblCellMar>
      </w:tblPr>
      <w:tblGrid>
        <w:gridCol w:w="988"/>
        <w:gridCol w:w="865"/>
        <w:gridCol w:w="876"/>
        <w:gridCol w:w="474"/>
        <w:gridCol w:w="474"/>
        <w:gridCol w:w="476"/>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7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CNMD</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2026, CONMED Corporation issued a press release announcing financial results for the second quarter ended June 30, 2026. A copy of this press release is attached hereto as Exhibit 99.1.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that is furnished under “Item 2.02. Results of Operations and Financial Condition” and Exhibit 99.1 attached hereto shall not be deemed “filed” for purposes of Section 18 of the Securities Act of 1934, nor shall they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212529"/>
          <w:sz w:val="20"/>
        </w:rPr>
      </w:pPr>
      <w:r>
        <w:rPr>
          <w:rFonts w:ascii="Times New Roman;serif" w:hAnsi="Times New Roman;serif"/>
          <w:b/>
          <w:color w:val="212529"/>
          <w:sz w:val="20"/>
        </w:rPr>
        <w:t>Item 9.01    Financial Statements and Exhibits</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212529"/>
          <w:sz w:val="20"/>
        </w:rPr>
      </w:pPr>
      <w:r>
        <w:rPr>
          <w:rFonts w:ascii="Times New Roman;serif" w:hAnsi="Times New Roman;serif"/>
          <w:b w:val="false"/>
          <w:color w:val="212529"/>
          <w:sz w:val="20"/>
        </w:rPr>
        <w:t>(d)    Exhibits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following exhibits are included herewith:</w:t>
      </w:r>
    </w:p>
    <w:p>
      <w:pPr>
        <w:pStyle w:val="TextBody"/>
        <w:bidi w:val="0"/>
        <w:spacing w:before="0" w:after="0"/>
        <w:ind w:left="0" w:right="0" w:firstLine="720"/>
        <w:jc w:val="both"/>
        <w:rPr/>
      </w:pPr>
      <w:r>
        <w:rPr/>
      </w:r>
    </w:p>
    <w:tbl>
      <w:tblPr>
        <w:tblW w:w="7755" w:type="dxa"/>
        <w:jc w:val="left"/>
        <w:tblInd w:w="0" w:type="dxa"/>
        <w:tblLayout w:type="fixed"/>
        <w:tblCellMar>
          <w:top w:w="28" w:type="dxa"/>
          <w:left w:w="28" w:type="dxa"/>
          <w:bottom w:w="28" w:type="dxa"/>
          <w:right w:w="28" w:type="dxa"/>
        </w:tblCellMar>
      </w:tblPr>
      <w:tblGrid>
        <w:gridCol w:w="391"/>
        <w:gridCol w:w="344"/>
        <w:gridCol w:w="345"/>
        <w:gridCol w:w="1950"/>
        <w:gridCol w:w="1950"/>
        <w:gridCol w:w="277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212529"/>
                <w:sz w:val="20"/>
              </w:rPr>
            </w:pPr>
            <w:r>
              <w:rPr>
                <w:rFonts w:ascii="Times New Roman;serif" w:hAnsi="Times New Roman;serif"/>
                <w:b/>
                <w:color w:val="212529"/>
                <w:sz w:val="20"/>
              </w:rPr>
              <w:t>Exhibit No.</w:t>
            </w:r>
          </w:p>
        </w:tc>
        <w:tc>
          <w:tcPr>
            <w:tcW w:w="667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212529"/>
                <w:sz w:val="20"/>
              </w:rPr>
            </w:pPr>
            <w:r>
              <w:rPr>
                <w:rFonts w:ascii="Times New Roman;serif" w:hAnsi="Times New Roman;serif"/>
                <w:b/>
                <w:color w:val="212529"/>
                <w:sz w:val="20"/>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212529"/>
                <w:sz w:val="20"/>
              </w:rPr>
            </w:pPr>
            <w:r>
              <w:rPr>
                <w:rFonts w:ascii="Times New Roman;serif" w:hAnsi="Times New Roman;serif"/>
                <w:b w:val="false"/>
                <w:color w:val="212529"/>
                <w:sz w:val="20"/>
              </w:rPr>
              <w:t>99.1</w:t>
            </w:r>
          </w:p>
        </w:tc>
        <w:tc>
          <w:tcPr>
            <w:tcW w:w="6675"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cnmdearningsrelease06302026.htm">
              <w:r>
                <w:rPr>
                  <w:rStyle w:val="InternetLink"/>
                  <w:rFonts w:ascii="Times New Roman;serif" w:hAnsi="Times New Roman;serif"/>
                  <w:b w:val="false"/>
                  <w:color w:val="0000FF"/>
                  <w:sz w:val="20"/>
                </w:rPr>
                <w:t>Press release dated July 29, 2026, issued by CONMED Corporation.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212529"/>
                <w:sz w:val="20"/>
              </w:rPr>
            </w:pPr>
            <w:r>
              <w:rPr>
                <w:rFonts w:ascii="Times New Roman;serif" w:hAnsi="Times New Roman;serif"/>
                <w:b w:val="false"/>
                <w:color w:val="212529"/>
                <w:sz w:val="20"/>
              </w:rPr>
              <w:t>104</w:t>
            </w:r>
          </w:p>
        </w:tc>
        <w:tc>
          <w:tcPr>
            <w:tcW w:w="667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xml:space="preserve">                     </w:t>
      </w:r>
    </w:p>
    <w:tbl>
      <w:tblPr>
        <w:tblW w:w="4109" w:type="dxa"/>
        <w:jc w:val="left"/>
        <w:tblInd w:w="0" w:type="dxa"/>
        <w:tblLayout w:type="fixed"/>
        <w:tblCellMar>
          <w:top w:w="28" w:type="dxa"/>
          <w:left w:w="28" w:type="dxa"/>
          <w:bottom w:w="28" w:type="dxa"/>
          <w:right w:w="28" w:type="dxa"/>
        </w:tblCellMar>
      </w:tblPr>
      <w:tblGrid>
        <w:gridCol w:w="618"/>
        <w:gridCol w:w="544"/>
        <w:gridCol w:w="547"/>
        <w:gridCol w:w="703"/>
        <w:gridCol w:w="703"/>
        <w:gridCol w:w="99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CONMED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before="0" w:after="0"/>
        <w:jc w:val="left"/>
        <w:rPr/>
      </w:pPr>
      <w:r>
        <w:rPr/>
      </w:r>
    </w:p>
    <w:p>
      <w:pPr>
        <w:pStyle w:val="TextBody"/>
        <w:bidi w:val="0"/>
        <w:spacing w:lineRule="auto" w:line="268" w:before="0" w:after="0"/>
        <w:jc w:val="left"/>
        <w:rPr>
          <w:color w:val="000000"/>
        </w:rPr>
      </w:pPr>
      <w:r>
        <w:rPr>
          <w:color w:val="000000"/>
        </w:rPr>
        <w:t xml:space="preserve">     </w:t>
      </w:r>
    </w:p>
    <w:tbl>
      <w:tblPr>
        <w:tblW w:w="3764" w:type="dxa"/>
        <w:jc w:val="right"/>
        <w:tblInd w:w="0" w:type="dxa"/>
        <w:tblLayout w:type="fixed"/>
        <w:tblCellMar>
          <w:top w:w="28" w:type="dxa"/>
          <w:left w:w="28" w:type="dxa"/>
          <w:bottom w:w="28" w:type="dxa"/>
          <w:right w:w="28" w:type="dxa"/>
        </w:tblCellMar>
      </w:tblPr>
      <w:tblGrid>
        <w:gridCol w:w="232"/>
        <w:gridCol w:w="205"/>
        <w:gridCol w:w="208"/>
        <w:gridCol w:w="913"/>
        <w:gridCol w:w="913"/>
        <w:gridCol w:w="129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John E. Gallagher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Gallagher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 &amp;</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24860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86025" cy="466725"/>
                    </a:xfrm>
                    <a:prstGeom prst="rect">
                      <a:avLst/>
                    </a:prstGeom>
                  </pic:spPr>
                </pic:pic>
              </a:graphicData>
            </a:graphic>
          </wp:inline>
        </w:drawing>
      </w:r>
    </w:p>
    <w:p>
      <w:pPr>
        <w:pStyle w:val="TextBody"/>
        <w:bidi w:val="0"/>
        <w:spacing w:lineRule="auto" w:line="288" w:before="0" w:after="0"/>
        <w:jc w:val="right"/>
        <w:rPr/>
      </w:pPr>
      <w:r>
        <w:rPr>
          <w:rFonts w:ascii="Times New Roman;serif" w:hAnsi="Times New Roman;serif"/>
          <w:b/>
          <w:color w:val="000000"/>
          <w:sz w:val="56"/>
        </w:rPr>
        <w:t>NEWS RELEASE</w:t>
      </w:r>
      <w:r>
        <w:rPr>
          <w:color w:val="000000"/>
        </w:rPr>
        <w:t xml:space="preserve"> </w:t>
      </w:r>
    </w:p>
    <w:p>
      <w:pPr>
        <w:pStyle w:val="TextBody"/>
        <w:bidi w:val="0"/>
        <w:spacing w:lineRule="auto" w:line="288" w:before="0" w:after="0"/>
        <w:jc w:val="both"/>
        <w:rPr>
          <w:color w:val="000000"/>
        </w:rPr>
      </w:pPr>
      <w:r>
        <w:rPr>
          <w:color w:val="000000"/>
        </w:rPr>
        <w:t>    </w:t>
      </w:r>
    </w:p>
    <w:tbl>
      <w:tblPr>
        <w:tblW w:w="2384" w:type="dxa"/>
        <w:jc w:val="right"/>
        <w:tblInd w:w="0" w:type="dxa"/>
        <w:tblLayout w:type="fixed"/>
        <w:tblCellMar>
          <w:top w:w="28" w:type="dxa"/>
          <w:left w:w="28" w:type="dxa"/>
          <w:bottom w:w="28" w:type="dxa"/>
          <w:right w:w="28" w:type="dxa"/>
        </w:tblCellMar>
      </w:tblPr>
      <w:tblGrid>
        <w:gridCol w:w="764"/>
        <w:gridCol w:w="669"/>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CONTACT</w:t>
            </w:r>
            <w:r>
              <w:rPr>
                <w:rFonts w:ascii="Times New Roman;serif" w:hAnsi="Times New Roman;serif"/>
                <w:b w:val="false"/>
                <w:color w:val="000000"/>
                <w:sz w:val="22"/>
              </w:rPr>
              <w:t>:</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CONMED Corporation</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Investor Relations</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ir@conmed.com</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CONMED Corporation Reports Second Quarter 2026 Financial Results; Updates Full Year 2026 Guidance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Largo, Florida, July 29, 2026 – CONMED Corporation (NYSE: CNMD)</w:t>
      </w:r>
      <w:r>
        <w:rPr>
          <w:color w:val="000000"/>
        </w:rPr>
        <w:t xml:space="preserve"> </w:t>
      </w:r>
      <w:r>
        <w:rPr>
          <w:rFonts w:ascii="Times New Roman;serif" w:hAnsi="Times New Roman;serif"/>
          <w:b w:val="false"/>
          <w:color w:val="000000"/>
          <w:sz w:val="22"/>
        </w:rPr>
        <w:t xml:space="preserve">today reported financial results for the second quarter ended June 30, 2026 and updated its financial guidance for the full year ending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Second Quarter 2026 Highlights</w:t>
      </w:r>
      <w:r>
        <w:rPr>
          <w:rFonts w:ascii="Times New Roman;serif" w:hAnsi="Times New Roman;serif"/>
          <w:b/>
          <w:color w:val="000000"/>
          <w:sz w:val="14"/>
        </w:rPr>
        <w:t>(1)</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Sales of $343.5 million increased 0.3% year-over-year as reported and decreased 0.5% on a constant currency</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Excluding the impact of the Company’s previously announced strategic exits of GI product offerings, net sales increased 6.0% on an organic constant currency</w:t>
      </w:r>
      <w:r>
        <w:rPr>
          <w:rFonts w:ascii="Times New Roman;serif" w:hAnsi="Times New Roman;serif"/>
          <w:b w:val="false"/>
          <w:color w:val="000000"/>
          <w:sz w:val="14"/>
        </w:rPr>
        <w:t>(2) (3)</w:t>
      </w:r>
      <w:r>
        <w:rPr>
          <w:color w:val="000000"/>
        </w:rPr>
        <w:t xml:space="preserve"> </w:t>
      </w:r>
      <w:r>
        <w:rPr>
          <w:rFonts w:ascii="Times New Roman;serif" w:hAnsi="Times New Roman;serif"/>
          <w:b w:val="false"/>
          <w:color w:val="000000"/>
          <w:sz w:val="22"/>
        </w:rPr>
        <w:t xml:space="preserve">basis.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Domestic sales decreased 8.0% as reported and increased 2.5% on an organic</w:t>
      </w:r>
      <w:r>
        <w:rPr>
          <w:rFonts w:ascii="Times New Roman;serif" w:hAnsi="Times New Roman;serif"/>
          <w:b w:val="false"/>
          <w:color w:val="000000"/>
          <w:sz w:val="14"/>
        </w:rPr>
        <w:t>(2)(3)</w:t>
      </w:r>
      <w:r>
        <w:rPr>
          <w:color w:val="000000"/>
        </w:rPr>
        <w:t xml:space="preserve"> </w:t>
      </w:r>
      <w:r>
        <w:rPr>
          <w:rFonts w:ascii="Times New Roman;serif" w:hAnsi="Times New Roman;serif"/>
          <w:b w:val="false"/>
          <w:color w:val="000000"/>
          <w:sz w:val="22"/>
        </w:rPr>
        <w:t>basis.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International sales increased 10.8% as reported, increased 8.9% on a constant currency</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basis, and increased 9.9% on an organic constant currency</w:t>
      </w:r>
      <w:r>
        <w:rPr>
          <w:rFonts w:ascii="Times New Roman;serif" w:hAnsi="Times New Roman;serif"/>
          <w:b w:val="false"/>
          <w:color w:val="000000"/>
          <w:sz w:val="14"/>
        </w:rPr>
        <w:t>(2)(3)</w:t>
      </w:r>
      <w:r>
        <w:rPr>
          <w:color w:val="000000"/>
        </w:rPr>
        <w:t xml:space="preserve"> </w:t>
      </w:r>
      <w:r>
        <w:rPr>
          <w:rFonts w:ascii="Times New Roman;serif" w:hAnsi="Times New Roman;serif"/>
          <w:b w:val="false"/>
          <w:color w:val="000000"/>
          <w:sz w:val="22"/>
        </w:rPr>
        <w:t xml:space="preserve">basis.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earnings per share (GAAP) were $0.77, up 11.6%.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diluted earnings per share</w:t>
      </w:r>
      <w:r>
        <w:rPr>
          <w:rFonts w:ascii="Times New Roman;serif" w:hAnsi="Times New Roman;serif"/>
          <w:b w:val="false"/>
          <w:color w:val="000000"/>
          <w:sz w:val="14"/>
        </w:rPr>
        <w:t>(2)</w:t>
      </w:r>
      <w:r>
        <w:rPr>
          <w:color w:val="000000"/>
        </w:rPr>
        <w:t> </w:t>
      </w:r>
      <w:r>
        <w:rPr>
          <w:rFonts w:ascii="Times New Roman;serif" w:hAnsi="Times New Roman;serif"/>
          <w:b w:val="false"/>
          <w:color w:val="000000"/>
          <w:sz w:val="22"/>
        </w:rPr>
        <w:t>were $1.38, up 20.0%.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Both diluted earnings per share (GAAP) and adjusted diluted earnings per share</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included a $0.21 benefit from IEEPA tariff refunds.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Second Quarter 2026 and Recent Operational Announcements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On May 20, 2026, the Company announced the appointment of Celine Martin and Jeff Mirviss to the Board of Directors, effective July 1,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On June 17, 2026, the Company announced the appointment of John E. Gallagher as Chief Financial Officer, effective July 15,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On July 22, 2026, the Company announced the AirSeal</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Robotic Solution is now indicated for use with Intuitive’s 8 mm hex cannulas used as part of the Intuitive da Vinci 5 platform.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delivered a strong second quarter, with organic constant currency net sales growth and adjusted diluted EPS that exceeded our stated expectations," said Patrick J. Beyer, CONMED’s President and Chief Executive Officer. "Our net sales performance on an organic constant currency basis reflected year-over-year growth across both our Orthopedic Surgery and General Surgery product lines, as our team continued to advance our key growth platforms: AirSeal, Buffalo Filter, and BioBrace. In tandem, we made meaningful progress on several strategic priorities during the quarter, including: completing the strategic exits of our gastroenterology product offerings in keeping with our portfolio optimization strategy, refinancing a portion of our debt, and further strengthening our leadership with key appointments to our Board and executive team."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Mr. Beyer continued: "We are updating our financial guidance for the full year 2026 today to reflect both our second quarter performance and our updated outlook for the balance of the year. Looking ahead, our team remains focused on disciplined execution as we continue to position CONMED for quality, long-term growth and value creation."</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634"/>
        <w:jc w:val="left"/>
        <w:rPr>
          <w:rFonts w:ascii="Times New Roman;serif" w:hAnsi="Times New Roman;serif"/>
          <w:b/>
          <w:color w:val="000000"/>
          <w:sz w:val="22"/>
        </w:rPr>
      </w:pPr>
      <w:r>
        <w:rPr>
          <w:rFonts w:ascii="Times New Roman;serif" w:hAnsi="Times New Roman;serif"/>
          <w:b/>
          <w:color w:val="000000"/>
          <w:sz w:val="22"/>
        </w:rPr>
        <w:t>2026 Financial Guidance</w:t>
      </w:r>
    </w:p>
    <w:p>
      <w:pPr>
        <w:pStyle w:val="TextBody"/>
        <w:bidi w:val="0"/>
        <w:spacing w:before="0" w:after="0"/>
        <w:ind w:left="0" w:right="0" w:firstLine="634"/>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updating its full year 2026 financial guidance to reflect its second quarter performance and updated outlook for the second half of 2026. For the twelve months ended December 31, 2026, the Company now expects: </w:t>
      </w:r>
    </w:p>
    <w:p>
      <w:pPr>
        <w:pStyle w:val="TextBody"/>
        <w:bidi w:val="0"/>
        <w:spacing w:before="0" w:after="0"/>
        <w:jc w:val="both"/>
        <w:rPr/>
      </w:pPr>
      <w:r>
        <w:rPr/>
      </w:r>
    </w:p>
    <w:tbl>
      <w:tblPr>
        <w:tblW w:w="9851" w:type="dxa"/>
        <w:jc w:val="left"/>
        <w:tblInd w:w="0" w:type="dxa"/>
        <w:tblLayout w:type="fixed"/>
        <w:tblCellMar>
          <w:top w:w="28" w:type="dxa"/>
          <w:left w:w="28" w:type="dxa"/>
          <w:bottom w:w="28" w:type="dxa"/>
          <w:right w:w="28" w:type="dxa"/>
        </w:tblCellMar>
      </w:tblPr>
      <w:tblGrid>
        <w:gridCol w:w="1941"/>
        <w:gridCol w:w="1702"/>
        <w:gridCol w:w="1711"/>
        <w:gridCol w:w="211"/>
        <w:gridCol w:w="631"/>
        <w:gridCol w:w="271"/>
        <w:gridCol w:w="211"/>
        <w:gridCol w:w="631"/>
        <w:gridCol w:w="271"/>
        <w:gridCol w:w="211"/>
        <w:gridCol w:w="631"/>
        <w:gridCol w:w="271"/>
        <w:gridCol w:w="211"/>
        <w:gridCol w:w="631"/>
        <w:gridCol w:w="316"/>
      </w:tblGrid>
      <w:tr>
        <w:trPr/>
        <w:tc>
          <w:tcPr>
            <w:tcW w:w="1941"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5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Dollars in millions, except per share figures </w:t>
              <w:br/>
              <w:t>Percentages on a year-over-year basis, may not foot due to rounding</w:t>
            </w:r>
          </w:p>
        </w:tc>
        <w:tc>
          <w:tcPr>
            <w:tcW w:w="4497" w:type="dxa"/>
            <w:gridSpan w:val="12"/>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Ending December 31, 2026</w:t>
            </w:r>
          </w:p>
        </w:tc>
      </w:tr>
      <w:tr>
        <w:trPr/>
        <w:tc>
          <w:tcPr>
            <w:tcW w:w="535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2226"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w:t>
              <w:br/>
              <w:t>Financial Guidance</w:t>
            </w:r>
          </w:p>
        </w:tc>
        <w:tc>
          <w:tcPr>
            <w:tcW w:w="2271"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Prior</w:t>
            </w:r>
          </w:p>
          <w:p>
            <w:pPr>
              <w:pStyle w:val="TableContents"/>
              <w:bidi w:val="0"/>
              <w:spacing w:lineRule="auto" w:line="240" w:before="0" w:after="0"/>
              <w:jc w:val="center"/>
              <w:rPr/>
            </w:pPr>
            <w:r>
              <w:rPr>
                <w:rFonts w:ascii="Times New Roman;serif" w:hAnsi="Times New Roman;serif"/>
                <w:b/>
                <w:color w:val="000000"/>
                <w:sz w:val="20"/>
              </w:rPr>
              <w:t>Financial Guidance</w:t>
            </w:r>
            <w:r>
              <w:rPr>
                <w:rFonts w:ascii="Times New Roman;serif" w:hAnsi="Times New Roman;serif"/>
                <w:b/>
                <w:color w:val="000000"/>
                <w:sz w:val="13"/>
              </w:rPr>
              <w:t>(5)</w:t>
            </w:r>
          </w:p>
        </w:tc>
      </w:tr>
      <w:tr>
        <w:trPr/>
        <w:tc>
          <w:tcPr>
            <w:tcW w:w="535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1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11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1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1158" w:type="dxa"/>
            <w:gridSpan w:val="3"/>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3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(GAAP)</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1,358</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w:t>
            </w: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1,375</w:t>
            </w:r>
            <w:r>
              <w:rPr>
                <w:color w:val="000000"/>
              </w:rPr>
              <w:t> </w:t>
            </w:r>
          </w:p>
        </w:tc>
        <w:tc>
          <w:tcPr>
            <w:tcW w:w="31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left w:val="single" w:sz="4"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Growth, as reported</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6"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left w:val="single" w:sz="4"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Estimated impact of foreign currency exchange rate fluctuations </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left w:val="single" w:sz="4"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Growth, Constant Currency</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Estimated impact of strategic product offering exits</w:t>
            </w:r>
            <w:r>
              <w:rPr>
                <w:rFonts w:ascii="Times New Roman;serif" w:hAnsi="Times New Roman;serif"/>
                <w:b w:val="false"/>
                <w:color w:val="000000"/>
                <w:sz w:val="13"/>
              </w:rPr>
              <w:t>(3)</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left w:val="single" w:sz="4"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Growth, Organic Constant Currency </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left w:val="single" w:sz="4" w:space="0" w:color="000000"/>
            </w:tcBorders>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right w:val="single" w:sz="4" w:space="0" w:color="000000"/>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5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Diluted EPS</w:t>
            </w:r>
            <w:r>
              <w:rPr>
                <w:rFonts w:ascii="Times New Roman;serif" w:hAnsi="Times New Roman;serif"/>
                <w:b/>
                <w:color w:val="000000"/>
                <w:sz w:val="13"/>
              </w:rPr>
              <w:t>(4)</w:t>
            </w:r>
          </w:p>
        </w:tc>
        <w:tc>
          <w:tcPr>
            <w:tcW w:w="211" w:type="dxa"/>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4"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w:t>
            </w:r>
            <w:r>
              <w:rPr>
                <w:color w:val="000000"/>
              </w:rPr>
              <w:t> </w:t>
            </w:r>
          </w:p>
        </w:tc>
        <w:tc>
          <w:tcPr>
            <w:tcW w:w="316"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left w:val="single" w:sz="4" w:space="0" w:color="000000"/>
              <w:bottom w:val="single" w:sz="4" w:space="0" w:color="000000"/>
            </w:tcBorders>
            <w:tcMar>
              <w:top w:w="0" w:type="dxa"/>
              <w:left w:w="14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842" w:type="dxa"/>
            <w:gridSpan w:val="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bottom w:val="single" w:sz="4" w:space="0" w:color="000000"/>
              <w:right w:val="single" w:sz="4" w:space="0" w:color="000000"/>
            </w:tcBorders>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Notes to Financial Information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All growth rates are presented on a year-over-year basis, unless noted otherwise.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Constant currency growth, organic growth, organic constant currency growth, and adjusted EPS are non-GAAP financial measures. Reconciliations of GAAP to non-GAAP financial measures appear below.</w:t>
      </w:r>
    </w:p>
    <w:p>
      <w:pPr>
        <w:pStyle w:val="TextBody"/>
        <w:bidi w:val="0"/>
        <w:spacing w:before="0" w:after="0"/>
        <w:jc w:val="left"/>
        <w:rPr/>
      </w:pPr>
      <w:r>
        <w:rPr/>
      </w:r>
    </w:p>
    <w:p>
      <w:pPr>
        <w:pStyle w:val="TextBody"/>
        <w:bidi w:val="0"/>
        <w:spacing w:lineRule="auto" w:line="300" w:before="0" w:after="160"/>
        <w:jc w:val="both"/>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Organic constant currency revenue excludes the sales of gastroenterology ("GI") product offerings for the three and six months ended June 30, 2026 and 2025, and twelve months ending December 31, 2026 and 2025, related to the Company’s previously announced strategic exits as part of its portfolio optimization strategy.</w:t>
      </w:r>
    </w:p>
    <w:p>
      <w:pPr>
        <w:pStyle w:val="TextBody"/>
        <w:bidi w:val="0"/>
        <w:spacing w:lineRule="auto" w:line="300" w:before="0" w:after="160"/>
        <w:jc w:val="both"/>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Information reconciling forward-looking adjusted diluted net earnings per share to the comparable GAAP financial measures is unavailable to the company without unreasonable effort, as discussed below.</w:t>
      </w:r>
    </w:p>
    <w:p>
      <w:pPr>
        <w:pStyle w:val="TextBody"/>
        <w:bidi w:val="0"/>
        <w:spacing w:lineRule="auto" w:line="300" w:before="0" w:after="160"/>
        <w:jc w:val="both"/>
        <w:rPr/>
      </w:pP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"Prior financial guidance" reflects the Company’s full year 2026 financial guidance, previously updated on April 29, 2026.</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erif" w:hAnsi="Times New Roman;serif"/>
          <w:b/>
          <w:color w:val="000000"/>
          <w:sz w:val="22"/>
        </w:rPr>
      </w:pPr>
      <w:r>
        <w:rPr>
          <w:rFonts w:ascii="Times New Roman;serif" w:hAnsi="Times New Roman;serif"/>
          <w:b/>
          <w:color w:val="000000"/>
          <w:sz w:val="22"/>
        </w:rPr>
        <w:t xml:space="preserve">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management will host a conference call today at 4:30 p.m. ET to discuss its second quarter 2026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To participate in the conference call via live webcast, please click here. To participate via telephone, please</w:t>
      </w:r>
      <w:r>
        <w:rPr>
          <w:color w:val="2D3A4D"/>
        </w:rPr>
        <w:t xml:space="preserve"> </w:t>
      </w:r>
      <w:r>
        <w:rPr>
          <w:rFonts w:ascii="Times New Roman;serif" w:hAnsi="Times New Roman;serif"/>
          <w:b w:val="false"/>
          <w:color w:val="000000"/>
          <w:sz w:val="22"/>
        </w:rPr>
        <w:t>click here to pre-register and obtain the dial-in number and passcode.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conference call webcast can also be accessed from the “Investors” section of CONMED's website: https://www.conmed.com/en/investor-relations. The webcast replay of the call will be available at the same site approximately one hour after the end of the call.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tbl>
      <w:tblPr>
        <w:tblW w:w="9450" w:type="dxa"/>
        <w:jc w:val="left"/>
        <w:tblInd w:w="0" w:type="dxa"/>
        <w:tblLayout w:type="fixed"/>
        <w:tblCellMar>
          <w:top w:w="28" w:type="dxa"/>
          <w:left w:w="28" w:type="dxa"/>
          <w:bottom w:w="28" w:type="dxa"/>
          <w:right w:w="28" w:type="dxa"/>
        </w:tblCellMar>
      </w:tblPr>
      <w:tblGrid>
        <w:gridCol w:w="1228"/>
        <w:gridCol w:w="812"/>
        <w:gridCol w:w="825"/>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6"/>
      </w:tblGrid>
      <w:tr>
        <w:trPr/>
        <w:tc>
          <w:tcPr>
            <w:tcW w:w="1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5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Condensed Statements of Income</w:t>
            </w:r>
          </w:p>
        </w:tc>
      </w:tr>
      <w:tr>
        <w:trPr/>
        <w:tc>
          <w:tcPr>
            <w:tcW w:w="945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 unaudited)</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197,458 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380,905 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366,071 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&amp;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31,347 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49,702 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37,591 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8" w:type="dxa"/>
            <w:gridSpan w:val="3"/>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5155" w:type="dxa"/>
        <w:jc w:val="left"/>
        <w:tblInd w:w="0" w:type="dxa"/>
        <w:tblLayout w:type="fixed"/>
        <w:tblCellMar>
          <w:top w:w="28" w:type="dxa"/>
          <w:left w:w="28" w:type="dxa"/>
          <w:bottom w:w="28" w:type="dxa"/>
          <w:right w:w="28" w:type="dxa"/>
        </w:tblCellMar>
      </w:tblPr>
      <w:tblGrid>
        <w:gridCol w:w="422"/>
        <w:gridCol w:w="291"/>
        <w:gridCol w:w="293"/>
        <w:gridCol w:w="196"/>
        <w:gridCol w:w="556"/>
        <w:gridCol w:w="109"/>
        <w:gridCol w:w="196"/>
        <w:gridCol w:w="556"/>
        <w:gridCol w:w="109"/>
        <w:gridCol w:w="109"/>
        <w:gridCol w:w="109"/>
        <w:gridCol w:w="109"/>
        <w:gridCol w:w="247"/>
        <w:gridCol w:w="219"/>
        <w:gridCol w:w="448"/>
        <w:gridCol w:w="243"/>
        <w:gridCol w:w="193"/>
        <w:gridCol w:w="455"/>
        <w:gridCol w:w="243"/>
        <w:gridCol w:w="193"/>
        <w:gridCol w:w="455"/>
        <w:gridCol w:w="289"/>
        <w:gridCol w:w="177"/>
        <w:gridCol w:w="357"/>
        <w:gridCol w:w="193"/>
        <w:gridCol w:w="193"/>
        <w:gridCol w:w="455"/>
        <w:gridCol w:w="109"/>
        <w:gridCol w:w="109"/>
        <w:gridCol w:w="109"/>
        <w:gridCol w:w="297"/>
        <w:gridCol w:w="229"/>
        <w:gridCol w:w="448"/>
        <w:gridCol w:w="289"/>
        <w:gridCol w:w="177"/>
        <w:gridCol w:w="357"/>
        <w:gridCol w:w="218"/>
        <w:gridCol w:w="218"/>
        <w:gridCol w:w="414"/>
        <w:gridCol w:w="109"/>
        <w:gridCol w:w="109"/>
        <w:gridCol w:w="109"/>
        <w:gridCol w:w="247"/>
        <w:gridCol w:w="219"/>
        <w:gridCol w:w="448"/>
        <w:gridCol w:w="243"/>
        <w:gridCol w:w="193"/>
        <w:gridCol w:w="455"/>
        <w:gridCol w:w="273"/>
        <w:gridCol w:w="193"/>
        <w:gridCol w:w="455"/>
        <w:gridCol w:w="224"/>
        <w:gridCol w:w="152"/>
        <w:gridCol w:w="357"/>
        <w:gridCol w:w="280"/>
        <w:gridCol w:w="186"/>
        <w:gridCol w:w="514"/>
      </w:tblGrid>
      <w:tr>
        <w:trPr/>
        <w:tc>
          <w:tcPr>
            <w:tcW w:w="4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5155" w:type="dxa"/>
            <w:gridSpan w:val="57"/>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Sales Summary</w:t>
            </w:r>
          </w:p>
        </w:tc>
      </w:tr>
      <w:tr>
        <w:trPr/>
        <w:tc>
          <w:tcPr>
            <w:tcW w:w="1515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unaudited)</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9" w:type="dxa"/>
            <w:gridSpan w:val="54"/>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0" w:type="dxa"/>
            <w:gridSpan w:val="4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Impact of GI</w:t>
            </w:r>
            <w:r>
              <w:rPr>
                <w:rFonts w:ascii="Times New Roman;serif" w:hAnsi="Times New Roman;serif"/>
                <w:b/>
                <w:color w:val="000000"/>
                <w:sz w:val="12"/>
              </w:rPr>
              <w:t>(1)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Organic</w:t>
            </w:r>
            <w:r>
              <w:rPr>
                <w:rFonts w:ascii="Times New Roman;serif" w:hAnsi="Times New Roman;serif"/>
                <w:b/>
                <w:color w:val="000000"/>
                <w:sz w:val="12"/>
              </w:rPr>
              <w:t xml:space="preserve">(1) </w:t>
            </w:r>
            <w:r>
              <w:rPr>
                <w:rFonts w:ascii="Times New Roman;serif" w:hAnsi="Times New Roman;serif"/>
                <w:b/>
                <w:color w:val="000000"/>
                <w:sz w:val="18"/>
              </w:rPr>
              <w:t>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8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Impact of GI</w:t>
            </w:r>
            <w:r>
              <w:rPr>
                <w:rFonts w:ascii="Times New Roman;serif" w:hAnsi="Times New Roman;serif"/>
                <w:b/>
                <w:color w:val="000000"/>
                <w:sz w:val="12"/>
              </w:rPr>
              <w:t>(1)</w:t>
            </w:r>
          </w:p>
        </w:tc>
        <w:tc>
          <w:tcPr>
            <w:tcW w:w="8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Organic</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8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9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7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Impact of GI</w:t>
            </w:r>
            <w:r>
              <w:rPr>
                <w:rFonts w:ascii="Times New Roman;serif" w:hAnsi="Times New Roman;serif"/>
                <w:b/>
                <w:color w:val="000000"/>
                <w:sz w:val="12"/>
              </w:rPr>
              <w:t>(1)</w:t>
            </w:r>
          </w:p>
        </w:tc>
        <w:tc>
          <w:tcPr>
            <w:tcW w:w="9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Organic</w:t>
            </w:r>
            <w:r>
              <w:rPr>
                <w:rFonts w:ascii="Times New Roman;serif" w:hAnsi="Times New Roman;serif"/>
                <w:b/>
                <w:color w:val="000000"/>
                <w:sz w:val="12"/>
              </w:rPr>
              <w:t xml:space="preserve">(1) </w:t>
            </w:r>
            <w:r>
              <w:rPr>
                <w:rFonts w:ascii="Times New Roman;serif" w:hAnsi="Times New Roman;serif"/>
                <w:b/>
                <w:color w:val="000000"/>
                <w:sz w:val="18"/>
              </w:rPr>
              <w:t>Constant Currency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Orthopedic Surgery</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Surgery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4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5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8"/>
        <w:gridCol w:w="288"/>
        <w:gridCol w:w="290"/>
        <w:gridCol w:w="196"/>
        <w:gridCol w:w="556"/>
        <w:gridCol w:w="109"/>
        <w:gridCol w:w="196"/>
        <w:gridCol w:w="556"/>
        <w:gridCol w:w="109"/>
        <w:gridCol w:w="109"/>
        <w:gridCol w:w="109"/>
        <w:gridCol w:w="109"/>
        <w:gridCol w:w="247"/>
        <w:gridCol w:w="192"/>
        <w:gridCol w:w="455"/>
        <w:gridCol w:w="258"/>
        <w:gridCol w:w="211"/>
        <w:gridCol w:w="497"/>
        <w:gridCol w:w="249"/>
        <w:gridCol w:w="202"/>
        <w:gridCol w:w="477"/>
        <w:gridCol w:w="109"/>
        <w:gridCol w:w="109"/>
        <w:gridCol w:w="109"/>
        <w:gridCol w:w="247"/>
        <w:gridCol w:w="192"/>
        <w:gridCol w:w="455"/>
        <w:gridCol w:w="109"/>
        <w:gridCol w:w="109"/>
        <w:gridCol w:w="109"/>
        <w:gridCol w:w="247"/>
        <w:gridCol w:w="220"/>
        <w:gridCol w:w="455"/>
        <w:gridCol w:w="258"/>
        <w:gridCol w:w="211"/>
        <w:gridCol w:w="497"/>
        <w:gridCol w:w="283"/>
        <w:gridCol w:w="194"/>
        <w:gridCol w:w="549"/>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9" w:type="dxa"/>
            <w:gridSpan w:val="3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0" w:type="dxa"/>
            <w:gridSpan w:val="27"/>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9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10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Single-use Products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5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Products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9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7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9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54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(1) Organic constant currency revenue excludes the sales of gastroenterology ("GI") product offerings for the three months ended June 30, 2026 and 2025.</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4805" w:type="dxa"/>
        <w:jc w:val="left"/>
        <w:tblInd w:w="0" w:type="dxa"/>
        <w:tblLayout w:type="fixed"/>
        <w:tblCellMar>
          <w:top w:w="28" w:type="dxa"/>
          <w:left w:w="28" w:type="dxa"/>
          <w:bottom w:w="28" w:type="dxa"/>
          <w:right w:w="28" w:type="dxa"/>
        </w:tblCellMar>
      </w:tblPr>
      <w:tblGrid>
        <w:gridCol w:w="422"/>
        <w:gridCol w:w="291"/>
        <w:gridCol w:w="293"/>
        <w:gridCol w:w="196"/>
        <w:gridCol w:w="556"/>
        <w:gridCol w:w="109"/>
        <w:gridCol w:w="196"/>
        <w:gridCol w:w="556"/>
        <w:gridCol w:w="109"/>
        <w:gridCol w:w="109"/>
        <w:gridCol w:w="109"/>
        <w:gridCol w:w="109"/>
        <w:gridCol w:w="247"/>
        <w:gridCol w:w="189"/>
        <w:gridCol w:w="448"/>
        <w:gridCol w:w="243"/>
        <w:gridCol w:w="193"/>
        <w:gridCol w:w="455"/>
        <w:gridCol w:w="243"/>
        <w:gridCol w:w="193"/>
        <w:gridCol w:w="455"/>
        <w:gridCol w:w="224"/>
        <w:gridCol w:w="152"/>
        <w:gridCol w:w="357"/>
        <w:gridCol w:w="193"/>
        <w:gridCol w:w="193"/>
        <w:gridCol w:w="455"/>
        <w:gridCol w:w="109"/>
        <w:gridCol w:w="109"/>
        <w:gridCol w:w="109"/>
        <w:gridCol w:w="263"/>
        <w:gridCol w:w="263"/>
        <w:gridCol w:w="448"/>
        <w:gridCol w:w="289"/>
        <w:gridCol w:w="177"/>
        <w:gridCol w:w="357"/>
        <w:gridCol w:w="200"/>
        <w:gridCol w:w="176"/>
        <w:gridCol w:w="414"/>
        <w:gridCol w:w="109"/>
        <w:gridCol w:w="109"/>
        <w:gridCol w:w="109"/>
        <w:gridCol w:w="247"/>
        <w:gridCol w:w="219"/>
        <w:gridCol w:w="448"/>
        <w:gridCol w:w="243"/>
        <w:gridCol w:w="193"/>
        <w:gridCol w:w="455"/>
        <w:gridCol w:w="193"/>
        <w:gridCol w:w="193"/>
        <w:gridCol w:w="455"/>
        <w:gridCol w:w="224"/>
        <w:gridCol w:w="152"/>
        <w:gridCol w:w="357"/>
        <w:gridCol w:w="190"/>
        <w:gridCol w:w="186"/>
        <w:gridCol w:w="514"/>
      </w:tblGrid>
      <w:tr>
        <w:trPr/>
        <w:tc>
          <w:tcPr>
            <w:tcW w:w="4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4805" w:type="dxa"/>
            <w:gridSpan w:val="57"/>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Sales Summary</w:t>
            </w:r>
          </w:p>
        </w:tc>
      </w:tr>
      <w:tr>
        <w:trPr/>
        <w:tc>
          <w:tcPr>
            <w:tcW w:w="1480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 unaudited)</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9" w:type="dxa"/>
            <w:gridSpan w:val="54"/>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0" w:type="dxa"/>
            <w:gridSpan w:val="4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Impact of GI</w:t>
            </w:r>
            <w:r>
              <w:rPr>
                <w:rFonts w:ascii="Times New Roman;serif" w:hAnsi="Times New Roman;serif"/>
                <w:b/>
                <w:color w:val="000000"/>
                <w:sz w:val="12"/>
              </w:rPr>
              <w:t>(1)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Organic</w:t>
            </w:r>
            <w:r>
              <w:rPr>
                <w:rFonts w:ascii="Times New Roman;serif" w:hAnsi="Times New Roman;serif"/>
                <w:b/>
                <w:color w:val="000000"/>
                <w:sz w:val="12"/>
              </w:rPr>
              <w:t xml:space="preserve">(1) </w:t>
            </w:r>
            <w:r>
              <w:rPr>
                <w:rFonts w:ascii="Times New Roman;serif" w:hAnsi="Times New Roman;serif"/>
                <w:b/>
                <w:color w:val="000000"/>
                <w:sz w:val="18"/>
              </w:rPr>
              <w:t>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82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Impact of GI</w:t>
            </w:r>
            <w:r>
              <w:rPr>
                <w:rFonts w:ascii="Times New Roman;serif" w:hAnsi="Times New Roman;serif"/>
                <w:b/>
                <w:color w:val="000000"/>
                <w:sz w:val="12"/>
              </w:rPr>
              <w:t>(1)</w:t>
            </w:r>
          </w:p>
        </w:tc>
        <w:tc>
          <w:tcPr>
            <w:tcW w:w="7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Organic</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8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8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7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Impact of GI</w:t>
            </w:r>
            <w:r>
              <w:rPr>
                <w:rFonts w:ascii="Times New Roman;serif" w:hAnsi="Times New Roman;serif"/>
                <w:b/>
                <w:color w:val="000000"/>
                <w:sz w:val="12"/>
              </w:rPr>
              <w:t>(1)</w:t>
            </w:r>
          </w:p>
        </w:tc>
        <w:tc>
          <w:tcPr>
            <w:tcW w:w="8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Organic</w:t>
            </w:r>
            <w:r>
              <w:rPr>
                <w:rFonts w:ascii="Times New Roman;serif" w:hAnsi="Times New Roman;serif"/>
                <w:b/>
                <w:color w:val="000000"/>
                <w:sz w:val="12"/>
              </w:rPr>
              <w:t xml:space="preserve">(1) </w:t>
            </w:r>
            <w:r>
              <w:rPr>
                <w:rFonts w:ascii="Times New Roman;serif" w:hAnsi="Times New Roman;serif"/>
                <w:b/>
                <w:color w:val="000000"/>
                <w:sz w:val="18"/>
              </w:rPr>
              <w:t>Constant Currency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Orthopedic Surgery</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Surgery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663.6 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4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5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5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5"/>
        <w:gridCol w:w="295"/>
        <w:gridCol w:w="297"/>
        <w:gridCol w:w="196"/>
        <w:gridCol w:w="556"/>
        <w:gridCol w:w="109"/>
        <w:gridCol w:w="196"/>
        <w:gridCol w:w="556"/>
        <w:gridCol w:w="109"/>
        <w:gridCol w:w="109"/>
        <w:gridCol w:w="109"/>
        <w:gridCol w:w="109"/>
        <w:gridCol w:w="247"/>
        <w:gridCol w:w="193"/>
        <w:gridCol w:w="459"/>
        <w:gridCol w:w="266"/>
        <w:gridCol w:w="220"/>
        <w:gridCol w:w="520"/>
        <w:gridCol w:w="253"/>
        <w:gridCol w:w="207"/>
        <w:gridCol w:w="490"/>
        <w:gridCol w:w="109"/>
        <w:gridCol w:w="109"/>
        <w:gridCol w:w="109"/>
        <w:gridCol w:w="247"/>
        <w:gridCol w:w="193"/>
        <w:gridCol w:w="459"/>
        <w:gridCol w:w="109"/>
        <w:gridCol w:w="109"/>
        <w:gridCol w:w="109"/>
        <w:gridCol w:w="193"/>
        <w:gridCol w:w="193"/>
        <w:gridCol w:w="459"/>
        <w:gridCol w:w="266"/>
        <w:gridCol w:w="220"/>
        <w:gridCol w:w="520"/>
        <w:gridCol w:w="203"/>
        <w:gridCol w:w="199"/>
        <w:gridCol w:w="568"/>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8" w:type="dxa"/>
            <w:gridSpan w:val="3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27"/>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Domestic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100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Impact of Foreign Currency</w:t>
            </w:r>
          </w:p>
        </w:tc>
        <w:tc>
          <w:tcPr>
            <w:tcW w:w="9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Single-use Products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Products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663.6 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5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2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9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5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5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2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6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18"/>
        </w:rPr>
      </w:pPr>
      <w:r>
        <w:rPr>
          <w:rFonts w:ascii="Times New Roman;serif" w:hAnsi="Times New Roman;serif"/>
          <w:b w:val="false"/>
          <w:color w:val="000000"/>
          <w:sz w:val="18"/>
        </w:rPr>
        <w:t>(1) Organic constant currency revenue excludes the sales of gastroenterology ("GI") product offerings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1693" w:type="dxa"/>
        <w:jc w:val="left"/>
        <w:tblInd w:w="0" w:type="dxa"/>
        <w:tblLayout w:type="fixed"/>
        <w:tblCellMar>
          <w:top w:w="28" w:type="dxa"/>
          <w:left w:w="28" w:type="dxa"/>
          <w:bottom w:w="28" w:type="dxa"/>
          <w:right w:w="28" w:type="dxa"/>
        </w:tblCellMar>
      </w:tblPr>
      <w:tblGrid>
        <w:gridCol w:w="585"/>
        <w:gridCol w:w="328"/>
        <w:gridCol w:w="288"/>
        <w:gridCol w:w="196"/>
        <w:gridCol w:w="184"/>
        <w:gridCol w:w="184"/>
        <w:gridCol w:w="184"/>
        <w:gridCol w:w="184"/>
        <w:gridCol w:w="256"/>
        <w:gridCol w:w="240"/>
        <w:gridCol w:w="902"/>
        <w:gridCol w:w="314"/>
        <w:gridCol w:w="233"/>
        <w:gridCol w:w="768"/>
        <w:gridCol w:w="305"/>
        <w:gridCol w:w="196"/>
        <w:gridCol w:w="646"/>
        <w:gridCol w:w="256"/>
        <w:gridCol w:w="196"/>
        <w:gridCol w:w="556"/>
        <w:gridCol w:w="109"/>
        <w:gridCol w:w="196"/>
        <w:gridCol w:w="571"/>
        <w:gridCol w:w="109"/>
        <w:gridCol w:w="196"/>
        <w:gridCol w:w="646"/>
        <w:gridCol w:w="109"/>
        <w:gridCol w:w="290"/>
        <w:gridCol w:w="176"/>
        <w:gridCol w:w="414"/>
        <w:gridCol w:w="196"/>
        <w:gridCol w:w="646"/>
        <w:gridCol w:w="109"/>
        <w:gridCol w:w="196"/>
        <w:gridCol w:w="466"/>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3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Reported Net Income to Adjusted Net Income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3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 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3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Selling &amp; Administrative Expense</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 &amp; Development Expense</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 Expense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 Expense</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Tax Rate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1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197,458 </w:t>
            </w:r>
          </w:p>
        </w:tc>
        <w:tc>
          <w:tcPr>
            <w:tcW w:w="2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145,553 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932" w:type="dxa"/>
            <w:gridSpan w:val="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Operational optimization costs</w:t>
            </w:r>
            <w:r>
              <w:rPr>
                <w:rFonts w:ascii="Times New Roman;serif" w:hAnsi="Times New Roman;serif"/>
                <w:b w:val="false"/>
                <w:color w:val="000000"/>
                <w:sz w:val="12"/>
              </w:rPr>
              <w:t>(1)</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(7,073)</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Product rationalization costs</w:t>
            </w:r>
            <w:r>
              <w:rPr>
                <w:rFonts w:ascii="Times New Roman;serif" w:hAnsi="Times New Roman;serif"/>
                <w:b w:val="false"/>
                <w:color w:val="000000"/>
                <w:sz w:val="12"/>
              </w:rPr>
              <w:t>(2)</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Loss on sale of product offering</w:t>
            </w:r>
            <w:r>
              <w:rPr>
                <w:rFonts w:ascii="Times New Roman;serif" w:hAnsi="Times New Roman;serif"/>
                <w:b w:val="false"/>
                <w:color w:val="000000"/>
                <w:sz w:val="12"/>
              </w:rPr>
              <w:t>(3)</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EU medical device regulations</w:t>
            </w:r>
            <w:r>
              <w:rPr>
                <w:rFonts w:ascii="Times New Roman;serif" w:hAnsi="Times New Roman;serif"/>
                <w:b w:val="false"/>
                <w:color w:val="000000"/>
                <w:sz w:val="12"/>
              </w:rPr>
              <w:t>(4)</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on early extinguishment of debt, net</w:t>
            </w:r>
            <w:r>
              <w:rPr>
                <w:rFonts w:ascii="Times New Roman;serif" w:hAnsi="Times New Roman;serif"/>
                <w:b w:val="false"/>
                <w:color w:val="000000"/>
                <w:sz w:val="12"/>
              </w:rPr>
              <w:t>(5)</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Contingent consideration fair value adjustments</w:t>
            </w:r>
            <w:r>
              <w:rPr>
                <w:rFonts w:ascii="Times New Roman;serif" w:hAnsi="Times New Roman;serif"/>
                <w:b w:val="false"/>
                <w:color w:val="000000"/>
                <w:sz w:val="12"/>
              </w:rPr>
              <w:t>(6)</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on sale of product offering</w:t>
            </w:r>
            <w:r>
              <w:rPr>
                <w:rFonts w:ascii="Times New Roman;serif" w:hAnsi="Times New Roman;serif"/>
                <w:b w:val="false"/>
                <w:color w:val="000000"/>
                <w:sz w:val="12"/>
              </w:rPr>
              <w:t>(7)</w:t>
            </w:r>
          </w:p>
        </w:tc>
        <w:tc>
          <w:tcPr>
            <w:tcW w:w="932"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204,369 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136,105 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14,417 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53,847 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gross profit % </w:t>
            </w:r>
          </w:p>
        </w:tc>
        <w:tc>
          <w:tcPr>
            <w:tcW w:w="932" w:type="dxa"/>
            <w:gridSpan w:val="5"/>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(8)</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118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128,868 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14,417 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118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31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5"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3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Selling &amp; Administrative Expense</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 &amp; Development Expense</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 Expense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 Expense</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Tax Rate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1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188,320 </w:t>
            </w:r>
          </w:p>
        </w:tc>
        <w:tc>
          <w:tcPr>
            <w:tcW w:w="2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136,021 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14,138 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38,161 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932" w:type="dxa"/>
            <w:gridSpan w:val="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Operational optimization costs</w:t>
            </w:r>
            <w:r>
              <w:rPr>
                <w:rFonts w:ascii="Times New Roman;serif" w:hAnsi="Times New Roman;serif"/>
                <w:b w:val="false"/>
                <w:color w:val="000000"/>
                <w:sz w:val="12"/>
              </w:rPr>
              <w:t>(1)</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Legal matters</w:t>
            </w:r>
            <w:r>
              <w:rPr>
                <w:rFonts w:ascii="Times New Roman;serif" w:hAnsi="Times New Roman;serif"/>
                <w:b w:val="false"/>
                <w:color w:val="000000"/>
                <w:sz w:val="12"/>
              </w:rPr>
              <w:t>(9)</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Loss on early extinguishment of debt, net</w:t>
            </w:r>
            <w:r>
              <w:rPr>
                <w:rFonts w:ascii="Times New Roman;serif" w:hAnsi="Times New Roman;serif"/>
                <w:b w:val="false"/>
                <w:color w:val="000000"/>
                <w:sz w:val="12"/>
              </w:rPr>
              <w:t>(5)</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Contingent consideration fair value adjustments</w:t>
            </w:r>
            <w:r>
              <w:rPr>
                <w:rFonts w:ascii="Times New Roman;serif" w:hAnsi="Times New Roman;serif"/>
                <w:b w:val="false"/>
                <w:color w:val="000000"/>
                <w:sz w:val="12"/>
              </w:rPr>
              <w:t>(6)</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193,442 </w:t>
            </w:r>
          </w:p>
        </w:tc>
        <w:tc>
          <w:tcPr>
            <w:tcW w:w="2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134,178 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14,138 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45,126 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gross profit % </w:t>
            </w:r>
          </w:p>
        </w:tc>
        <w:tc>
          <w:tcPr>
            <w:tcW w:w="932" w:type="dxa"/>
            <w:gridSpan w:val="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11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126,986 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14,138 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53,818 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 of sales </w:t>
            </w:r>
          </w:p>
        </w:tc>
        <w:tc>
          <w:tcPr>
            <w:tcW w:w="11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14"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5"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56"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7"/>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402"/>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In 2025, the Company incurred costs related to the engagement of a consulting firm to evaluate and propose improvements to our manufacturing operations and other operational optimization charges which are included in cost of sales. In 2026 and 2025, we incurred consulting fees, legal fees and other charges related to operational optimization which are included in selling &amp; administrative expense.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 In 2026, the Company wrote off inventory, equipment and tooling to cost of goods sold related to the discontinuation of certain products.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 In 2026, the Company recognized a loss on the sale of certain assets related to gastroenterology products that was recorded as a sale of a business.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 In 2026, the Company incurred costs to comply with the European Union's Medical Device Regulations (MDR).</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 In 2026, the Company recorded income for the difference between the principal value and purchase price of extinguished debt, and recorded expense for the write-off of deferred financing fees and related professional fees. In 2025, the Company incurred costs related to a loss on early extinguishment and third-party fees associated with the eighth amended and restated senior credit agreement.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(6) In 2026 and 2025, the Company recorded income related to the fair value adjustments of contingent consideration.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In 2026, the Company recognized a gain on the sale of certain assets related to gastroenterology products.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 Includes amortization of intangible assets and deferred financing fees.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 In 2025, the Company incurred costs for third party services pertaining to potential issues with certain royalty payments to design surgeons.</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tbl>
      <w:tblPr>
        <w:tblW w:w="11764" w:type="dxa"/>
        <w:jc w:val="left"/>
        <w:tblInd w:w="0" w:type="dxa"/>
        <w:tblLayout w:type="fixed"/>
        <w:tblCellMar>
          <w:top w:w="28" w:type="dxa"/>
          <w:left w:w="28" w:type="dxa"/>
          <w:bottom w:w="28" w:type="dxa"/>
          <w:right w:w="28" w:type="dxa"/>
        </w:tblCellMar>
      </w:tblPr>
      <w:tblGrid>
        <w:gridCol w:w="585"/>
        <w:gridCol w:w="328"/>
        <w:gridCol w:w="288"/>
        <w:gridCol w:w="196"/>
        <w:gridCol w:w="184"/>
        <w:gridCol w:w="184"/>
        <w:gridCol w:w="184"/>
        <w:gridCol w:w="184"/>
        <w:gridCol w:w="256"/>
        <w:gridCol w:w="240"/>
        <w:gridCol w:w="902"/>
        <w:gridCol w:w="314"/>
        <w:gridCol w:w="233"/>
        <w:gridCol w:w="768"/>
        <w:gridCol w:w="305"/>
        <w:gridCol w:w="196"/>
        <w:gridCol w:w="736"/>
        <w:gridCol w:w="256"/>
        <w:gridCol w:w="196"/>
        <w:gridCol w:w="646"/>
        <w:gridCol w:w="109"/>
        <w:gridCol w:w="196"/>
        <w:gridCol w:w="571"/>
        <w:gridCol w:w="109"/>
        <w:gridCol w:w="196"/>
        <w:gridCol w:w="646"/>
        <w:gridCol w:w="109"/>
        <w:gridCol w:w="290"/>
        <w:gridCol w:w="176"/>
        <w:gridCol w:w="414"/>
        <w:gridCol w:w="196"/>
        <w:gridCol w:w="646"/>
        <w:gridCol w:w="109"/>
        <w:gridCol w:w="196"/>
        <w:gridCol w:w="466"/>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6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Reported Net Income to Adjusted Net Income</w:t>
            </w:r>
          </w:p>
        </w:tc>
      </w:tr>
      <w:tr>
        <w:trPr/>
        <w:tc>
          <w:tcPr>
            <w:tcW w:w="1176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 unaudited)</w:t>
            </w:r>
          </w:p>
        </w:tc>
      </w:tr>
      <w:tr>
        <w:trPr/>
        <w:tc>
          <w:tcPr>
            <w:tcW w:w="1176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Selling &amp; Administrative Expense</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 &amp; Development Expense</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 Expense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 Expense</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Tax Rate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1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380,905 </w:t>
            </w:r>
          </w:p>
        </w:tc>
        <w:tc>
          <w:tcPr>
            <w:tcW w:w="2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287,252 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31,833 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61,820 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932" w:type="dxa"/>
            <w:gridSpan w:val="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Operational optimization costs</w:t>
            </w:r>
            <w:r>
              <w:rPr>
                <w:rFonts w:ascii="Times New Roman;serif" w:hAnsi="Times New Roman;serif"/>
                <w:b w:val="false"/>
                <w:color w:val="000000"/>
                <w:sz w:val="12"/>
              </w:rPr>
              <w:t>(1)</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Product rationalization costs</w:t>
            </w:r>
            <w:r>
              <w:rPr>
                <w:rFonts w:ascii="Times New Roman;serif" w:hAnsi="Times New Roman;serif"/>
                <w:b w:val="false"/>
                <w:color w:val="000000"/>
                <w:sz w:val="12"/>
              </w:rPr>
              <w:t>(2)</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sale of product offering</w:t>
            </w:r>
            <w:r>
              <w:rPr>
                <w:rFonts w:ascii="Times New Roman;serif" w:hAnsi="Times New Roman;serif"/>
                <w:b w:val="false"/>
                <w:color w:val="000000"/>
                <w:sz w:val="12"/>
              </w:rPr>
              <w:t>(3)</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EU medical device regulations</w:t>
            </w:r>
            <w:r>
              <w:rPr>
                <w:rFonts w:ascii="Times New Roman;serif" w:hAnsi="Times New Roman;serif"/>
                <w:b w:val="false"/>
                <w:color w:val="000000"/>
                <w:sz w:val="12"/>
              </w:rPr>
              <w:t>(4)</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Executive transition costs</w:t>
            </w:r>
            <w:r>
              <w:rPr>
                <w:rFonts w:ascii="Times New Roman;serif" w:hAnsi="Times New Roman;serif"/>
                <w:b w:val="false"/>
                <w:color w:val="000000"/>
                <w:sz w:val="12"/>
              </w:rPr>
              <w:t>(5)</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Contingent consideration fair value adjustments</w:t>
            </w:r>
            <w:r>
              <w:rPr>
                <w:rFonts w:ascii="Times New Roman;serif" w:hAnsi="Times New Roman;serif"/>
                <w:b w:val="false"/>
                <w:color w:val="000000"/>
                <w:sz w:val="12"/>
              </w:rPr>
              <w:t>(6)</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on early extinguishment of debt, net</w:t>
            </w:r>
            <w:r>
              <w:rPr>
                <w:rFonts w:ascii="Times New Roman;serif" w:hAnsi="Times New Roman;serif"/>
                <w:b w:val="false"/>
                <w:color w:val="000000"/>
                <w:sz w:val="12"/>
              </w:rPr>
              <w:t>(7)</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Termination of distribution agreement</w:t>
            </w:r>
            <w:r>
              <w:rPr>
                <w:rFonts w:ascii="Times New Roman;serif" w:hAnsi="Times New Roman;serif"/>
                <w:b w:val="false"/>
                <w:color w:val="000000"/>
                <w:sz w:val="12"/>
              </w:rPr>
              <w:t>(8)</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on sale of product offering</w:t>
            </w:r>
            <w:r>
              <w:rPr>
                <w:rFonts w:ascii="Times New Roman;serif" w:hAnsi="Times New Roman;serif"/>
                <w:b w:val="false"/>
                <w:color w:val="000000"/>
                <w:sz w:val="12"/>
              </w:rPr>
              <w:t>(9)</w:t>
            </w:r>
          </w:p>
        </w:tc>
        <w:tc>
          <w:tcPr>
            <w:tcW w:w="932"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386,331 </w:t>
            </w:r>
          </w:p>
        </w:tc>
        <w:tc>
          <w:tcPr>
            <w:tcW w:w="25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270,129 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29,583 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86,619 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gross profit % </w:t>
            </w:r>
          </w:p>
        </w:tc>
        <w:tc>
          <w:tcPr>
            <w:tcW w:w="932" w:type="dxa"/>
            <w:gridSpan w:val="5"/>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(10)</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118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255,631 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29,583 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104,117 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118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31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5"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64"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Profit</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Selling &amp; Administrative Expense</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 &amp; Development Expense</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Income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(Income) / Expense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 Expense</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Tax Rate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Diluted EPS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19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366,071 </w:t>
            </w:r>
          </w:p>
        </w:tc>
        <w:tc>
          <w:tcPr>
            <w:tcW w:w="25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284,868 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27,084 </w:t>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4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sales</w:t>
            </w:r>
          </w:p>
        </w:tc>
        <w:tc>
          <w:tcPr>
            <w:tcW w:w="932" w:type="dxa"/>
            <w:gridSpan w:val="5"/>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optimization costs</w:t>
            </w:r>
            <w:r>
              <w:rPr>
                <w:rFonts w:ascii="Times New Roman;serif" w:hAnsi="Times New Roman;serif"/>
                <w:b w:val="false"/>
                <w:color w:val="000000"/>
                <w:sz w:val="12"/>
              </w:rPr>
              <w:t>(1)</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Executive transition costs</w:t>
            </w:r>
            <w:r>
              <w:rPr>
                <w:rFonts w:ascii="Times New Roman;serif" w:hAnsi="Times New Roman;serif"/>
                <w:b w:val="false"/>
                <w:color w:val="000000"/>
                <w:sz w:val="12"/>
              </w:rPr>
              <w:t>(5)</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Legal matters</w:t>
            </w:r>
            <w:r>
              <w:rPr>
                <w:rFonts w:ascii="Times New Roman;serif" w:hAnsi="Times New Roman;serif"/>
                <w:b w:val="false"/>
                <w:color w:val="000000"/>
                <w:sz w:val="12"/>
              </w:rPr>
              <w:t>(11)</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Contingent consideration fair value adjustments</w:t>
            </w:r>
            <w:r>
              <w:rPr>
                <w:rFonts w:ascii="Times New Roman;serif" w:hAnsi="Times New Roman;serif"/>
                <w:b w:val="false"/>
                <w:color w:val="000000"/>
                <w:sz w:val="12"/>
              </w:rPr>
              <w:t>(6)</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Loss on early extinguishment of debt, net</w:t>
            </w:r>
            <w:r>
              <w:rPr>
                <w:rFonts w:ascii="Times New Roman;serif" w:hAnsi="Times New Roman;serif"/>
                <w:b w:val="false"/>
                <w:color w:val="000000"/>
                <w:sz w:val="12"/>
              </w:rPr>
              <w:t>(7)</w:t>
            </w:r>
          </w:p>
        </w:tc>
        <w:tc>
          <w:tcPr>
            <w:tcW w:w="932"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on sale of product offering</w:t>
            </w:r>
            <w:r>
              <w:rPr>
                <w:rFonts w:ascii="Times New Roman;serif" w:hAnsi="Times New Roman;serif"/>
                <w:b w:val="false"/>
                <w:color w:val="000000"/>
                <w:sz w:val="12"/>
              </w:rPr>
              <w:t>(9)</w:t>
            </w:r>
          </w:p>
        </w:tc>
        <w:tc>
          <w:tcPr>
            <w:tcW w:w="932"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374,603 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265,725 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gross profit % </w:t>
            </w:r>
          </w:p>
        </w:tc>
        <w:tc>
          <w:tcPr>
            <w:tcW w:w="932"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w:t>
            </w:r>
            <w:r>
              <w:rPr>
                <w:rFonts w:ascii="Times New Roman;serif" w:hAnsi="Times New Roman;serif"/>
                <w:b w:val="false"/>
                <w:color w:val="000000"/>
                <w:sz w:val="12"/>
              </w:rPr>
              <w:t>(10)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11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251,361 </w:t>
            </w:r>
          </w:p>
        </w:tc>
        <w:tc>
          <w:tcPr>
            <w:tcW w:w="3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27,084 </w:t>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99,158 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4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 of sales </w:t>
            </w:r>
          </w:p>
        </w:tc>
        <w:tc>
          <w:tcPr>
            <w:tcW w:w="11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14"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05"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7"/>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402"/>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In 2026 and 2025, the Company incurred costs related to the engagement of a consulting firm to evaluate and propose improvements to our manufacturing operations and other operational optimization charges which are included in cost of sales. In addition, we incurred consulting fees, legal fees and other charges related to operational optimization which are included in selling &amp; administrative expense.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 In 2026, the Company wrote off inventory, equipment and tooling to cost of goods sold related to the discontinuation of certain products.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 In 2026, the Company recognized a loss on the sale of certain assets related to gastroenterology products that was recorded as a sale of a business.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 In 2026, the Company incurred costs to comply with the European Union's Medical Device Regulations (MDR).</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 The Company incurred cash and stock-based compensation costs related to advisory services provided by our former Chief Financial Officer and Chief Executive Officer in 2026 and 2025, respectively.</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 In 2026 and 2025, the Company recorded expense related to the fair value adjustments of contingent consideration.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In 2026, the Company recorded income for the difference between the principal value and purchase price of extinguished debt, and recorded expense for the write-off of deferred financing fees and related professional fees. In 2025, the Company incurred costs related to a loss on early extinguishment and third-party fees associated with the eighth amended and restated senior credit agreement.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 In 2026, the Company recognized income related to the early termination of an agreement granting the Company exclusive distribution rights.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 In 2026, the Company recognized a gain on the sale of certain assets related to gastroenterology products. In 2025, the Company recognized a gain on the sale of a product offering.</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Includes amortization of intangible assets and deferred financing fees.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 In 2025, the Company incurred costs for third party services pertaining to potential issues with certain royalty payments to surgeons involved in design teams.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127" w:type="dxa"/>
        <w:jc w:val="left"/>
        <w:tblInd w:w="0" w:type="dxa"/>
        <w:tblLayout w:type="fixed"/>
        <w:tblCellMar>
          <w:top w:w="28" w:type="dxa"/>
          <w:left w:w="28" w:type="dxa"/>
          <w:bottom w:w="28" w:type="dxa"/>
          <w:right w:w="28" w:type="dxa"/>
        </w:tblCellMar>
      </w:tblPr>
      <w:tblGrid>
        <w:gridCol w:w="1479"/>
        <w:gridCol w:w="1295"/>
        <w:gridCol w:w="1305"/>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4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12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Reported Net Income to EBITDA &amp; Adjusted EBITDA</w:t>
            </w:r>
          </w:p>
        </w:tc>
      </w:tr>
      <w:tr>
        <w:trPr/>
        <w:tc>
          <w:tcPr>
            <w:tcW w:w="1012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c>
      </w:tr>
      <w:tr>
        <w:trPr/>
        <w:tc>
          <w:tcPr>
            <w:tcW w:w="681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58,276 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56,315 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102,528 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90,525 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Operational optimization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rationalization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product offering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product offering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 loss on early extinguishment of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transition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of distribution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Margin</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Adjusted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6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About CONMED Corporation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CONMED is a medical technology company that provides devices and equipment for surgical procedures. The Company’s products are used by surgeons and other healthcare professionals in a variety of specialties including orthopedics, general surgery, gynecology, and thoracic surgery. For more information, visit www.conmed.com.</w:t>
      </w:r>
    </w:p>
    <w:p>
      <w:pPr>
        <w:pStyle w:val="TextBody"/>
        <w:bidi w:val="0"/>
        <w:spacing w:before="0" w:after="0"/>
        <w:jc w:val="both"/>
        <w:rPr/>
      </w:pPr>
      <w:r>
        <w:rPr/>
      </w:r>
    </w:p>
    <w:p>
      <w:pPr>
        <w:pStyle w:val="TextBody"/>
        <w:bidi w:val="0"/>
        <w:spacing w:lineRule="auto" w:line="288" w:before="0" w:after="0"/>
        <w:ind w:left="0" w:right="0" w:firstLine="4"/>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ind w:left="0" w:right="0" w:firstLine="4"/>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and associated conference call may contain forward-looking statements based on certain assumptions and contingencies that involve risks and uncertainties, which could cause actual results, performance, or trends to differ materially from those expressed in the forward-looking statements herein or in previous disclosures. For example, in addition to general industry and economic conditions, factors that could cause actual results to differ materially from those in the forward-looking statements may include, but are not limited to the risk factors discussed in the Company's Annual Report on Form 10-K for the full year ended December 31, 2025, listed under the heading Forward-Looking Statements in the Company’s most recently filed Form 10-Q and other risks and uncertainties, which may be detailed from time to time in reports filed by CONMED with the SEC. Any and all forward-looking statements are made pursuant to the safe harbor provisions of the Private Securities Litigation Reform Act of 1995 and relate to the Company’s performance on a going-forward basis. The Company believes that all forward-looking statements made by it have a reasonable basis, but there can be no assurance that management’s expectations, beliefs or projections as expressed in the forward-looking statements will actually occur or prove to be correct. </w:t>
      </w:r>
    </w:p>
    <w:p>
      <w:pPr>
        <w:pStyle w:val="TextBody"/>
        <w:bidi w:val="0"/>
        <w:spacing w:before="0" w:after="0"/>
        <w:jc w:val="left"/>
        <w:rPr/>
      </w:pPr>
      <w:r>
        <w:rPr/>
      </w:r>
    </w:p>
    <w:p>
      <w:pPr>
        <w:pStyle w:val="TextBody"/>
        <w:bidi w:val="0"/>
        <w:spacing w:lineRule="auto" w:line="288" w:before="0" w:after="0"/>
        <w:ind w:left="0" w:right="0" w:firstLine="4"/>
        <w:jc w:val="left"/>
        <w:rPr>
          <w:rFonts w:ascii="Times New Roman;serif" w:hAnsi="Times New Roman;serif"/>
          <w:b/>
          <w:color w:val="000000"/>
          <w:sz w:val="22"/>
        </w:rPr>
      </w:pPr>
      <w:r>
        <w:rPr>
          <w:rFonts w:ascii="Times New Roman;serif" w:hAnsi="Times New Roman;serif"/>
          <w:b/>
          <w:color w:val="000000"/>
          <w:sz w:val="22"/>
        </w:rPr>
        <w:t>Supplemental Information - Reconciliation of GAAP to Non-GAAP Financial Measures</w:t>
      </w:r>
    </w:p>
    <w:p>
      <w:pPr>
        <w:pStyle w:val="TextBody"/>
        <w:bidi w:val="0"/>
        <w:spacing w:before="0" w:after="0"/>
        <w:ind w:left="0" w:right="0" w:firstLine="4"/>
        <w:jc w:val="left"/>
        <w:rPr/>
      </w:pPr>
      <w:r>
        <w:rPr/>
      </w:r>
    </w:p>
    <w:p>
      <w:pPr>
        <w:pStyle w:val="TextBody"/>
        <w:bidi w:val="0"/>
        <w:spacing w:lineRule="auto" w:line="288" w:before="0" w:after="0"/>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The Company supplements the reporting of its financial information determined under generally accepted accounting principles in the United States (GAAP) with certain non-GAAP financial measures, including percentage sales growth in constant currency; organic sales growth; organic constant currency sales growth; adjusted gross profit; cost of sales excluding specified items; adjusted selling and administrative expenses; adjusted research and development expense; adjusted operating income; adjusted interest expense; adjusted other (income)/expense; adjusted income tax expense; adjusted effective income tax rate; adjusted net income and adjusted diluted net earnings per share (EPS). The Company believes that these non-GAAP measures provide meaningful information to assist investors and shareholders in understanding its financial results and assessing its prospects for future performance. Management believes percentage sales growth in constant currency and the other adjusted measures described above are important indicators of its operations because they exclude items that may not be indicative of, or are unrelated to, its core operating results and provide a baseline for analyzing trends in the Company’s underlying business. Further, the presentation of EBITDA is a non-GAAP measurement that management considers useful for measuring aspects of the Company’s cash flow. Management uses these non-GAAP financial measures for reviewing the operating results and analyzing potential future business trends in connection with its budget process and bases certain management incentive compensation on these non-GAAP financial measures.</w:t>
      </w:r>
    </w:p>
    <w:p>
      <w:pPr>
        <w:pStyle w:val="TextBody"/>
        <w:bidi w:val="0"/>
        <w:spacing w:before="0" w:after="0"/>
        <w:ind w:left="0" w:right="0" w:firstLine="4"/>
        <w:jc w:val="both"/>
        <w:rPr/>
      </w:pPr>
      <w:r>
        <w:rPr/>
      </w:r>
    </w:p>
    <w:p>
      <w:pPr>
        <w:pStyle w:val="TextBody"/>
        <w:bidi w:val="0"/>
        <w:spacing w:lineRule="auto" w:line="288"/>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 xml:space="preserve">Net sales on a constant currency basis, organic basis, and organic constant currency basis are non-GAAP measures. The Company analyzes net sales on a constant currency basis, organic basis, and organic constant currency basis to better measure the comparability of results between periods. Organic revenue excludes the sales of GI product offerings and organic constant currency revenue presents sales in constant currency and excludes the sales of GI product offerings. To measure percentage sales growth in constant currency, the Company removes the impact of changes in foreign currency exchange rates that affect the comparability and trend of net sales. To measure earnings performance on a consistent and comparable basis, the Company excludes certain items that affect the comparability of operating results and the trend of earnings. These adjustments are irregular in timing, may not be </w:t>
      </w:r>
    </w:p>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indicative of past and future performance and are therefore excluded to allow investors to better understand underlying operating trends.</w:t>
      </w:r>
    </w:p>
    <w:p>
      <w:pPr>
        <w:pStyle w:val="TextBody"/>
        <w:bidi w:val="0"/>
        <w:spacing w:before="0" w:after="0"/>
        <w:ind w:left="0" w:right="0" w:firstLine="4"/>
        <w:jc w:val="both"/>
        <w:rPr/>
      </w:pPr>
      <w:r>
        <w:rPr/>
      </w:r>
    </w:p>
    <w:p>
      <w:pPr>
        <w:pStyle w:val="TextBody"/>
        <w:bidi w:val="0"/>
        <w:spacing w:lineRule="auto" w:line="288" w:before="0" w:after="0"/>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Because non-GAAP financial measures are not standardized, it may not be possible to compare these financial measures with other companies' non-GAAP financial measures having the same or similar names. These adjusted financial measures should not be considered in isolation or as a substitute for reported sales growth, gross profit, cost of sales, selling and administrative expenses, research and development expense, operating income, interest expense, other (income)/expense, income tax expense, effective income tax rate, net income and diluted net earnings per share, the most directly comparable GAAP financial measures. These non-GAAP financial measures are an additional way of viewing aspects of the Company’s operations that, when viewed with GAAP results and the reconciliations to corresponding GAAP financial measures above, provide a more complete understanding of the business. The Company strongly encourages investors and shareholders to review its financial statements and publicly filed reports in their entirety and not to rely on any single financial measure.</w:t>
      </w:r>
    </w:p>
    <w:p>
      <w:pPr>
        <w:pStyle w:val="TextBody"/>
        <w:bidi w:val="0"/>
        <w:spacing w:before="0" w:after="0"/>
        <w:ind w:left="0" w:right="0" w:firstLine="4"/>
        <w:jc w:val="both"/>
        <w:rPr/>
      </w:pPr>
      <w:r>
        <w:rPr/>
      </w:r>
    </w:p>
    <w:p>
      <w:pPr>
        <w:pStyle w:val="TextBody"/>
        <w:bidi w:val="0"/>
        <w:spacing w:lineRule="auto" w:line="288"/>
        <w:ind w:left="0" w:right="0" w:firstLine="4"/>
        <w:jc w:val="both"/>
        <w:rPr>
          <w:rFonts w:ascii="Times New Roman;serif" w:hAnsi="Times New Roman;serif"/>
          <w:b w:val="false"/>
          <w:color w:val="000000"/>
          <w:sz w:val="22"/>
        </w:rPr>
      </w:pPr>
      <w:r>
        <w:rPr>
          <w:rFonts w:ascii="Times New Roman;serif" w:hAnsi="Times New Roman;serif"/>
          <w:b w:val="false"/>
          <w:color w:val="000000"/>
          <w:sz w:val="22"/>
        </w:rPr>
        <w:t>We are unable to present a quantitative reconciliation of our expected diluted net earnings per share to expected adjusted diluted net earnings per share as we are unable to predict with reasonable certainty and without unreasonable effort the impact and timing of acquisition, integration and other charges. The financial impact of these items is uncertain and is dependent on various factors, including timing, and could be material to our consolidated condensed statements of income.</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4583</Words>
  <Characters>23465</Characters>
  <CharactersWithSpaces>27393</CharactersWithSpaces>
  <Paragraphs>1617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