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 (d)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CONMED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2780" w:type="dxa"/>
            <w:vAlign w:val="bottom"/>
          </w:tcPr>
          <w:p>
            <w:pPr>
              <w:jc w:val="center"/>
              <w:ind w:right="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001-39218</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auto"/>
                <w:w w:val="98"/>
              </w:rPr>
              <w:t>16-0977505</w:t>
            </w:r>
          </w:p>
        </w:tc>
      </w:tr>
      <w:tr>
        <w:trPr>
          <w:trHeight w:val="148"/>
        </w:trPr>
        <w:tc>
          <w:tcPr>
            <w:tcW w:w="2780" w:type="dxa"/>
            <w:vAlign w:val="bottom"/>
          </w:tcPr>
          <w:p>
            <w:pPr>
              <w:jc w:val="center"/>
              <w:ind w:right="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80" w:type="dxa"/>
            <w:vAlign w:val="bottom"/>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780" w:type="dxa"/>
            <w:vAlign w:val="bottom"/>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8"/>
              </w:rPr>
              <w:t>11311 Concept Blvd</w:t>
            </w:r>
          </w:p>
        </w:tc>
        <w:tc>
          <w:tcPr>
            <w:tcW w:w="38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7"/>
        </w:trPr>
        <w:tc>
          <w:tcPr>
            <w:tcW w:w="2780" w:type="dxa"/>
            <w:vAlign w:val="bottom"/>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rPr>
              <w:t>Largo, FL</w:t>
            </w:r>
          </w:p>
        </w:tc>
        <w:tc>
          <w:tcPr>
            <w:tcW w:w="3880" w:type="dxa"/>
            <w:vAlign w:val="bottom"/>
          </w:tcPr>
          <w:p>
            <w:pPr>
              <w:spacing w:after="0"/>
              <w:rPr>
                <w:sz w:val="19"/>
                <w:szCs w:val="19"/>
                <w:color w:val="auto"/>
              </w:rPr>
            </w:pPr>
          </w:p>
        </w:tc>
        <w:tc>
          <w:tcPr>
            <w:tcW w:w="224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33773</w:t>
            </w:r>
          </w:p>
        </w:tc>
      </w:tr>
      <w:tr>
        <w:trPr>
          <w:trHeight w:val="190"/>
        </w:trPr>
        <w:tc>
          <w:tcPr>
            <w:tcW w:w="6660" w:type="dxa"/>
            <w:vAlign w:val="bottom"/>
            <w:gridSpan w:val="2"/>
          </w:tcPr>
          <w:p>
            <w:pPr>
              <w:jc w:val="center"/>
              <w:ind w:right="28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jc w:val="center"/>
              <w:ind w:right="6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6"/>
        </w:trPr>
        <w:tc>
          <w:tcPr>
            <w:tcW w:w="2780" w:type="dxa"/>
            <w:vAlign w:val="bottom"/>
          </w:tcPr>
          <w:p>
            <w:pPr>
              <w:spacing w:after="0"/>
              <w:rPr>
                <w:sz w:val="24"/>
                <w:szCs w:val="24"/>
                <w:color w:val="auto"/>
              </w:rPr>
            </w:pPr>
          </w:p>
        </w:tc>
        <w:tc>
          <w:tcPr>
            <w:tcW w:w="3880" w:type="dxa"/>
            <w:vAlign w:val="bottom"/>
          </w:tcPr>
          <w:p>
            <w:pPr>
              <w:jc w:val="right"/>
              <w:ind w:right="1441"/>
              <w:spacing w:after="0"/>
              <w:rPr>
                <w:sz w:val="20"/>
                <w:szCs w:val="20"/>
                <w:color w:val="auto"/>
              </w:rPr>
            </w:pPr>
            <w:r>
              <w:rPr>
                <w:rFonts w:ascii="Times New Roman" w:cs="Times New Roman" w:eastAsia="Times New Roman" w:hAnsi="Times New Roman"/>
                <w:sz w:val="18"/>
                <w:szCs w:val="18"/>
                <w:b w:val="1"/>
                <w:bCs w:val="1"/>
                <w:color w:val="auto"/>
              </w:rPr>
              <w:t>(727) 392-6464</w:t>
            </w:r>
          </w:p>
        </w:tc>
        <w:tc>
          <w:tcPr>
            <w:tcW w:w="2240" w:type="dxa"/>
            <w:vAlign w:val="bottom"/>
          </w:tcPr>
          <w:p>
            <w:pPr>
              <w:spacing w:after="0"/>
              <w:rPr>
                <w:sz w:val="24"/>
                <w:szCs w:val="24"/>
                <w:color w:val="auto"/>
              </w:rPr>
            </w:pPr>
          </w:p>
        </w:tc>
      </w:tr>
      <w:tr>
        <w:trPr>
          <w:trHeight w:val="190"/>
        </w:trPr>
        <w:tc>
          <w:tcPr>
            <w:tcW w:w="2780" w:type="dxa"/>
            <w:vAlign w:val="bottom"/>
          </w:tcPr>
          <w:p>
            <w:pPr>
              <w:spacing w:after="0"/>
              <w:rPr>
                <w:sz w:val="16"/>
                <w:szCs w:val="16"/>
                <w:color w:val="auto"/>
              </w:rPr>
            </w:pPr>
          </w:p>
        </w:tc>
        <w:tc>
          <w:tcPr>
            <w:tcW w:w="38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186055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564" w:right="2560" w:hanging="3564"/>
        <w:spacing w:after="0" w:line="458" w:lineRule="auto"/>
        <w:tabs>
          <w:tab w:leader="none" w:pos="4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Rule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CNMD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Financial 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2024, CONMED Corporation (the “Company”) issued the following statement on the impact from Hurricane Helene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operations: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path of Hurricane Helene impacted the Company’s manufacturing facility in Largo, Florida and the Company’s distribution center in Lithia Springs, Georgia. The Company prioritizes the safety of its employees, and ceased manufacturing operations at its Largo, Florida facility for approximately 24 hours. Employee absences at the Largo facility were significant after the storm had passed, temporarily impacting the facility’s manufacturing. As of September 30, 2024, the Company has confirmed that all employees are safe, and no significant damage was reported at either facility, and both facilities are back to normal operations.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also understands that its customers in the southeastern United States delayed surgeries and other activity due to the storm, and some areas continue to be affected. The Company is unable to estimate the financial impact of Hurricane Helene at this time.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is being “furnished” and shall not be deemed “filed” for purposes of Section 18 of the Securities Exchange Act of 1934, as amended (the “Exchange Act”), or otherwise subject to the liability of that section or Sections 11 and 12(a)(2) of the Securities Act of 1933, as amended (the “Securities Act”). The information in this Item 7.01 shall not be incorporated by reference into any registration statement or other document pursuant to the Securities Act or into any filing or other document pursuant to the Exchange Act, except as otherwise expressly stated in any such filing.</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30, 2024</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CONMED CORPORATION</w:t>
            </w: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W. Garner</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Todd W. Garner</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2024-09-30T10:52:45Z</dcterms:created>
  <dcterms:modified xsi:type="dcterms:W3CDTF">2024-09-30T10:52:45Z</dcterms:modified>
</cp:coreProperties>
</file>