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2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9"/>
              </w:rPr>
              <w:t>Washington, D.C. 20549</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80" w:type="dxa"/>
            <w:vAlign w:val="bottom"/>
            <w:gridSpan w:val="4"/>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CURRENT REPORT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4"/>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9"/>
              </w:rPr>
              <w:t>PURSUANT TO SECTION 13 OR 15 (d) OF THE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2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3, 2026</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4"/>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CONMED CORPORATION</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2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2"/>
        </w:trPr>
        <w:tc>
          <w:tcPr>
            <w:tcW w:w="740" w:type="dxa"/>
            <w:vAlign w:val="bottom"/>
          </w:tcPr>
          <w:p>
            <w:pPr>
              <w:spacing w:after="0"/>
              <w:rPr>
                <w:sz w:val="24"/>
                <w:szCs w:val="24"/>
                <w:color w:val="auto"/>
              </w:rPr>
            </w:pPr>
          </w:p>
        </w:tc>
        <w:tc>
          <w:tcPr>
            <w:tcW w:w="1600" w:type="dxa"/>
            <w:vAlign w:val="bottom"/>
            <w:gridSpan w:val="3"/>
          </w:tcPr>
          <w:p>
            <w:pPr>
              <w:jc w:val="center"/>
              <w:ind w:right="830"/>
              <w:spacing w:after="0"/>
              <w:rPr>
                <w:sz w:val="20"/>
                <w:szCs w:val="20"/>
                <w:color w:val="auto"/>
              </w:rPr>
            </w:pPr>
            <w:r>
              <w:rPr>
                <w:rFonts w:ascii="Times New Roman" w:cs="Times New Roman" w:eastAsia="Times New Roman" w:hAnsi="Times New Roman"/>
                <w:sz w:val="18"/>
                <w:szCs w:val="18"/>
                <w:color w:val="auto"/>
                <w:w w:val="98"/>
              </w:rPr>
              <w:t>Delaware</w:t>
            </w:r>
          </w:p>
        </w:tc>
        <w:tc>
          <w:tcPr>
            <w:tcW w:w="3060" w:type="dxa"/>
            <w:vAlign w:val="bottom"/>
            <w:gridSpan w:val="4"/>
          </w:tcPr>
          <w:p>
            <w:pPr>
              <w:jc w:val="center"/>
              <w:ind w:left="1870"/>
              <w:spacing w:after="0"/>
              <w:rPr>
                <w:sz w:val="20"/>
                <w:szCs w:val="20"/>
                <w:color w:val="auto"/>
              </w:rPr>
            </w:pPr>
            <w:r>
              <w:rPr>
                <w:rFonts w:ascii="Times New Roman" w:cs="Times New Roman" w:eastAsia="Times New Roman" w:hAnsi="Times New Roman"/>
                <w:sz w:val="18"/>
                <w:szCs w:val="18"/>
                <w:color w:val="auto"/>
                <w:w w:val="99"/>
              </w:rPr>
              <w:t>001-39218</w:t>
            </w:r>
          </w:p>
        </w:tc>
        <w:tc>
          <w:tcPr>
            <w:tcW w:w="1760" w:type="dxa"/>
            <w:vAlign w:val="bottom"/>
          </w:tcPr>
          <w:p>
            <w:pPr>
              <w:spacing w:after="0"/>
              <w:rPr>
                <w:sz w:val="24"/>
                <w:szCs w:val="24"/>
                <w:color w:val="auto"/>
              </w:rPr>
            </w:pPr>
          </w:p>
        </w:tc>
        <w:tc>
          <w:tcPr>
            <w:tcW w:w="212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w w:val="98"/>
              </w:rPr>
              <w:t>16-0977505</w:t>
            </w:r>
          </w:p>
        </w:tc>
      </w:tr>
      <w:tr>
        <w:trPr>
          <w:trHeight w:val="20"/>
        </w:trPr>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82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rPr>
              <w:t>(Commission File Number)</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740" w:type="dxa"/>
            <w:vAlign w:val="bottom"/>
          </w:tcPr>
          <w:p>
            <w:pPr>
              <w:spacing w:after="0"/>
              <w:rPr>
                <w:sz w:val="24"/>
                <w:szCs w:val="24"/>
                <w:color w:val="auto"/>
              </w:rPr>
            </w:pPr>
          </w:p>
        </w:tc>
        <w:tc>
          <w:tcPr>
            <w:tcW w:w="642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color w:val="auto"/>
                <w:w w:val="99"/>
              </w:rPr>
              <w:t>11311 Concept Blvd</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Largo, FL</w:t>
            </w: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33773</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7"/>
        </w:trPr>
        <w:tc>
          <w:tcPr>
            <w:tcW w:w="716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12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392"/>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(727) 392-6464</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2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Rule 12(b) of the Act</w:t>
      </w: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42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29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620" w:type="dxa"/>
            <w:vAlign w:val="bottom"/>
          </w:tcPr>
          <w:p>
            <w:pPr>
              <w:spacing w:after="0"/>
              <w:rPr>
                <w:sz w:val="20"/>
                <w:szCs w:val="20"/>
                <w:color w:val="auto"/>
              </w:rPr>
            </w:pPr>
          </w:p>
        </w:tc>
        <w:tc>
          <w:tcPr>
            <w:tcW w:w="268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CNMD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bl>
    <w:p>
      <w:pPr>
        <w:spacing w:after="0" w:line="198"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95" w:right="499" w:bottom="1440" w:gutter="0" w:footer="0" w:header="0"/>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02" w:lineRule="exact"/>
        <w:rPr>
          <w:sz w:val="20"/>
          <w:szCs w:val="20"/>
          <w:color w:val="auto"/>
        </w:rPr>
      </w:pPr>
    </w:p>
    <w:p>
      <w:pPr>
        <w:ind w:right="80" w:firstLine="648"/>
        <w:spacing w:after="0" w:line="232" w:lineRule="auto"/>
        <w:rPr>
          <w:sz w:val="20"/>
          <w:szCs w:val="20"/>
          <w:color w:val="auto"/>
        </w:rPr>
      </w:pPr>
      <w:r>
        <w:rPr>
          <w:rFonts w:ascii="Times New Roman" w:cs="Times New Roman" w:eastAsia="Times New Roman" w:hAnsi="Times New Roman"/>
          <w:sz w:val="18"/>
          <w:szCs w:val="18"/>
          <w:color w:val="auto"/>
        </w:rPr>
        <w:t>On June 3, 2026, CONMED Corporation, a Delaware corporation (“</w:t>
      </w:r>
      <w:r>
        <w:rPr>
          <w:rFonts w:ascii="Times New Roman" w:cs="Times New Roman" w:eastAsia="Times New Roman" w:hAnsi="Times New Roman"/>
          <w:sz w:val="18"/>
          <w:szCs w:val="18"/>
          <w:u w:val="single" w:color="auto"/>
          <w:color w:val="auto"/>
        </w:rPr>
        <w:t>CONMED</w:t>
      </w:r>
      <w:r>
        <w:rPr>
          <w:rFonts w:ascii="Times New Roman" w:cs="Times New Roman" w:eastAsia="Times New Roman" w:hAnsi="Times New Roman"/>
          <w:sz w:val="18"/>
          <w:szCs w:val="18"/>
          <w:color w:val="auto"/>
        </w:rPr>
        <w:t>”), entered into separate, privately negotiated purchase agreements (the “</w:t>
      </w:r>
      <w:r>
        <w:rPr>
          <w:rFonts w:ascii="Times New Roman" w:cs="Times New Roman" w:eastAsia="Times New Roman" w:hAnsi="Times New Roman"/>
          <w:sz w:val="18"/>
          <w:szCs w:val="18"/>
          <w:u w:val="single" w:color="auto"/>
          <w:color w:val="auto"/>
        </w:rPr>
        <w:t>Purchase Agreements</w:t>
      </w:r>
      <w:r>
        <w:rPr>
          <w:rFonts w:ascii="Times New Roman" w:cs="Times New Roman" w:eastAsia="Times New Roman" w:hAnsi="Times New Roman"/>
          <w:sz w:val="18"/>
          <w:szCs w:val="18"/>
          <w:color w:val="auto"/>
        </w:rPr>
        <w:t>”) with certain holders of its 2.25% Convertible Senior Notes due 2027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Under the terms of the Purchase Agreements, the Company agreed to purchase approximately $645.2 million aggregate principal amount of Notes from the holders thereof for approximately $637.2 million in cash. These purchase transactions are expected to close on June 15, 2026, subject to the satisfaction of customary closing conditions.</w:t>
      </w:r>
    </w:p>
    <w:p>
      <w:pPr>
        <w:spacing w:after="0" w:line="16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Purchase Agreements is qualified in its entirety by reference to the form of Purchase Agreement, a copy of which is attached as Exhibit 10.1 hereto.</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included herewith:</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120" w:type="dxa"/>
            <w:vAlign w:val="bottom"/>
          </w:tcPr>
          <w:p>
            <w:pPr>
              <w:spacing w:after="0"/>
              <w:rPr>
                <w:sz w:val="19"/>
                <w:szCs w:val="19"/>
                <w:color w:val="auto"/>
              </w:rPr>
            </w:pPr>
          </w:p>
        </w:tc>
        <w:tc>
          <w:tcPr>
            <w:tcW w:w="7980" w:type="dxa"/>
            <w:vAlign w:val="bottom"/>
          </w:tcPr>
          <w:p>
            <w:pPr>
              <w:spacing w:after="0"/>
              <w:rPr>
                <w:sz w:val="19"/>
                <w:szCs w:val="19"/>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Form of Purchase Agreement</w:t>
            </w:r>
          </w:p>
        </w:tc>
      </w:tr>
      <w:tr>
        <w:trPr>
          <w:trHeight w:val="20"/>
        </w:trPr>
        <w:tc>
          <w:tcPr>
            <w:tcW w:w="11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87"/>
        </w:trPr>
        <w:tc>
          <w:tcPr>
            <w:tcW w:w="1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CONMED CORPORATION</w:t>
      </w:r>
    </w:p>
    <w:p>
      <w:pPr>
        <w:spacing w:after="0" w:line="3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tbl>
      <w:tblPr>
        <w:tblLayout w:type="fixed"/>
        <w:tblInd w:w="67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J. Beyer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J. Beyer</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Interim</w:t>
            </w:r>
          </w:p>
        </w:tc>
      </w:tr>
      <w:tr>
        <w:trPr>
          <w:trHeight w:val="234"/>
        </w:trPr>
        <w:tc>
          <w:tcPr>
            <w:tcW w:w="6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 2026</w:t>
      </w:r>
    </w:p>
    <w:p>
      <w:pPr>
        <w:spacing w:after="0" w:line="225" w:lineRule="exact"/>
        <w:rPr>
          <w:sz w:val="20"/>
          <w:szCs w:val="20"/>
          <w:color w:val="auto"/>
        </w:rPr>
      </w:pPr>
    </w:p>
    <w:p>
      <w:pPr>
        <w:jc w:val="both"/>
        <w:ind w:firstLine="656"/>
        <w:spacing w:after="0" w:line="259" w:lineRule="auto"/>
        <w:tabs>
          <w:tab w:leader="none" w:pos="9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Undersigned</w:t>
      </w:r>
      <w:r>
        <w:rPr>
          <w:rFonts w:ascii="Times New Roman" w:cs="Times New Roman" w:eastAsia="Times New Roman" w:hAnsi="Times New Roman"/>
          <w:sz w:val="18"/>
          <w:szCs w:val="18"/>
          <w:color w:val="auto"/>
        </w:rPr>
        <w:t xml:space="preserve">”), for itself and on behalf of the beneficial owners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for whom the Undersigned holds contractual and investment authority (each Account, as well as the Undersigned if it is selling Outstanding Notes (as defined below), referred to hereunder as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enters into this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CONMED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as of the date first written above, pursuant to which the Company will purchase from each Holder the Outstanding Notes held by each Holder and specified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an amount in cash equal to the Cash Consideration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and subject to the terms and conditions set forth in this Agreement, the parties hereto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r>
        <w:rPr>
          <w:rFonts w:ascii="Times New Roman" w:cs="Times New Roman" w:eastAsia="Times New Roman" w:hAnsi="Times New Roman"/>
          <w:sz w:val="18"/>
          <w:szCs w:val="18"/>
          <w:b w:val="1"/>
          <w:bCs w:val="1"/>
          <w:color w:val="auto"/>
        </w:rPr>
        <w:t>: Purchase of the Existing Notes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Purchase and Sale</w:t>
      </w:r>
      <w:r>
        <w:rPr>
          <w:rFonts w:ascii="Times New Roman" w:cs="Times New Roman" w:eastAsia="Times New Roman" w:hAnsi="Times New Roman"/>
          <w:sz w:val="18"/>
          <w:szCs w:val="18"/>
          <w:color w:val="auto"/>
        </w:rPr>
        <w:t>. On and subject to the terms set forth in this Agreement, at the Closing (as defined below), the Undersigned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agrees to cause each Holder to sell and deliver to the Company the aggregate principal amount of the Company’s outstanding 2.250% Convertible Notes due 2027 specified for such Holder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under the heading “Purchased Notes” (such principal amount of notes, the “</w:t>
      </w:r>
      <w:r>
        <w:rPr>
          <w:rFonts w:ascii="Times New Roman" w:cs="Times New Roman" w:eastAsia="Times New Roman" w:hAnsi="Times New Roman"/>
          <w:sz w:val="18"/>
          <w:szCs w:val="18"/>
          <w:b w:val="1"/>
          <w:bCs w:val="1"/>
          <w:color w:val="auto"/>
        </w:rPr>
        <w:t>Outstanding Notes</w:t>
      </w:r>
      <w:r>
        <w:rPr>
          <w:rFonts w:ascii="Times New Roman" w:cs="Times New Roman" w:eastAsia="Times New Roman" w:hAnsi="Times New Roman"/>
          <w:sz w:val="18"/>
          <w:szCs w:val="18"/>
          <w:color w:val="auto"/>
        </w:rPr>
        <w:t xml:space="preserve">”), and in exchange therefor, the Company hereby agrees to pay to such Holder the Cash Consideration specified for such Holder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Outstanding Notes to be sold and delivered to the Company pursuant to the terms of this Agreement for the Cash Consideration are referred to herein as the “</w:t>
      </w:r>
      <w:r>
        <w:rPr>
          <w:rFonts w:ascii="Times New Roman" w:cs="Times New Roman" w:eastAsia="Times New Roman" w:hAnsi="Times New Roman"/>
          <w:sz w:val="18"/>
          <w:szCs w:val="18"/>
          <w:b w:val="1"/>
          <w:bCs w:val="1"/>
          <w:color w:val="auto"/>
        </w:rPr>
        <w:t>Purchased Notes</w:t>
      </w:r>
      <w:r>
        <w:rPr>
          <w:rFonts w:ascii="Times New Roman" w:cs="Times New Roman" w:eastAsia="Times New Roman" w:hAnsi="Times New Roman"/>
          <w:sz w:val="18"/>
          <w:szCs w:val="18"/>
          <w:color w:val="auto"/>
        </w:rPr>
        <w:t>.” The transactions contemplated by this Agreement, including the payment of the Cash Consideration and purchase and delivery of the Purchased Notes are collectively referred to herein as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Subject to the satisfaction (or waiver by the applicable parties)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Transactions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on June 15, 2026, or such later date as mutually agreed in writing by the parties hereto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Closing, (a) each Holder shall deliver or cause to be delivered to the Company all right, title and interest in and to its Purchased Notes (and no other consideration) free and clear of any mortgage, lien, pledge, charge, security interest, encumbrance, title retention agreement, option, equity or other adverse claim thereto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xml:space="preserve">”), together with any documents of conveyance or transfer that the Company may deem necessary or desirable to transfer to and confirm in the Company all right, title and interest in and to the Purchased Notes free and clear of any Liens, and (b) the Company shall deliver or cause to be delivered to each Holder the Cash Consideration specified for such Holder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specified on, and pursuant to the wire instructions provided by each Holder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which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may be provided within one (1) Business Day of the date set forth at the top of this Agreement.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the avoidance of doubt, in the event of any delay in the Closing, the Company will not make any separate cash payment pursuant to this Agreement in respect of interest, if any, accrued and unpaid from the Closing Date for the Purchased Notes. Instead, such amounts will be deemed to be paid by the purchase by the Company of the Purchased Notes for the Cash Consideration. Delivery of the Purchased Notes shall be effected via one-sided Deposit/Withdrawal at Custodian (DWAC) pursuant to the instructions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(it being understood that posting such request on any date before the Closing Date will result in such request expiring unaccepted at the close of business on such date, and such Holder will need to repost such withdrawal request on the Closing Date). All questions as to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all documents and the validity and acceptance of the Purchased Notes will be determined by the Company, in its sole discretion, which determination shall be final and binding.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r>
        <w:rPr>
          <w:rFonts w:ascii="Times New Roman" w:cs="Times New Roman" w:eastAsia="Times New Roman" w:hAnsi="Times New Roman"/>
          <w:sz w:val="18"/>
          <w:szCs w:val="18"/>
          <w:b w:val="1"/>
          <w:bCs w:val="1"/>
          <w:color w:val="auto"/>
        </w:rPr>
        <w:t>: Covenants, Representations and Warranties of the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covenants as follows, and makes the following representations and warranties on its own behalf and where specified below, on behalf of each Holder, each of which is and shall be true and correct on the date hereof and at the Closing, and all such covenants, representations and warranties shall survive the Closing.</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Power and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Undersigned and each Holder is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laws of its jurisdiction of formation. The Undersigned has the power, authority and capacity to execute and deliver this Agreement, to perform its obligations hereunder, and to consummate the Transactions. If the Undersigned is executing this Agreement on behalf of Accounts, (a) the Undersigned has all requisite discretionary and contractual authority to enter into this Agreement on behalf of, and bind, each Account, and (b)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 a true, correct and complete list of (i) the name of each Account, and (ii) the principal amount of such Account’s Outstanding Notes.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Valid and Enforceable Agreement; No Violations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has been duly executed and delivered by the Undersigned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constitutes a valid and binding obligation of the Undersigned and each Holder, enforceable against the Undersigned and each Holder in accordance with its terms, except that such enforcement may be subject to (a) bankruptcy, insolvency, fraudulent transfer, reorganization, moratorium or other similar laws affecting or relating to enforcement of creditors’ rights generally, and (b) general principles of equity, whether such enforceability is considered in a proceeding at law or in equity (the exceptions described in the preceding clauses (a) and (b),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This Agreement and consummation of the Transactions will not violate, conflict with or result in a breach of or default under (i) the Undersigned’s or the applicable Holder’s organizational documents (or any similar documents governing each Account), (ii) any agreement or instrument to which the Undersigned or the applicable Holder is a party or by which the Undersigned or the applicable Holder or any of their respective assets are bound, or (iii) any laws, regulations or governmental or judicial decrees, injunctions or orders applicable to the Undersigned or the applicable Holder, except in the case of clause (iii), where such violations, conflicts, breaches or defaults would not affect the Undersigned’s or the applicable Holder’s ability to consummate the transactions contemplated hereby. No consent, approval, authorization, order, registration or qualification of, or with, any court, arbitrator or governmental or regulatory authority is required in connection with the execution, delivery and performance of this Agreement or the consummation by each of the Holders of the Transactions.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Title to the Purchased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Each Holder is the sole beneficial owner and, at the Closing, will be the sole legal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Purchased Notes set forth opposite its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 each Holder has good, valid and marketable title to its Purchased Notes, free and clear of any Liens (other than pledges or security interests that such Holder may have created in favor of a prime broker under and in accordance with its prime brokerage agreement with such broker, which will be terminated prior to Closing); (c) each Holder has not, in whole or in part, except as described in the preceding clause (b), (i) assigned, transferred, hypothecated, pledged, exchanged or otherwise disposed of any of its Purchased Notes or its rights, title or interest in or to its Purchased Notes or (ii) given any person or entity (other than the Undersigned) any transfer order, power of attorney or other authority of any nature whatsoever with respect to its Purchased Notes; and (d) upon each Holder’s delivery of its Purchased Notes to the Company pursuant to the Transactions, such Purchased Notes shall be free and clear of all Liens, and the Company will acquire good, marketable and unencumbered title to such Purchased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Full Satisfaction of Obligations under the Notes</w:t>
      </w:r>
      <w:r>
        <w:rPr>
          <w:rFonts w:ascii="Times New Roman" w:cs="Times New Roman" w:eastAsia="Times New Roman" w:hAnsi="Times New Roman"/>
          <w:sz w:val="18"/>
          <w:szCs w:val="18"/>
          <w:color w:val="auto"/>
        </w:rPr>
        <w:t>. Each Holder acknowledges that upon payment of the Cash Consideration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the obligations of the Company to the Holder under and with respect to the Purchased Notes will have been satisfied in full.</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Adequate Information; No Reliance; No Pressure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Undersigned and Holders acknowledges and agrees that (a)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furnished with all materials it considers relevant to making an investment decision to enter into the Purchase and has had the opportunity to review (and has carefully reviewed) (i) the Company’s filings and submissions with the Securities and Exchange Commission, including, without limitation, all information filed or furnished pursuant to the Securities Exchange Act of 1934, as amended (collectively, the “</w:t>
      </w:r>
      <w:r>
        <w:rPr>
          <w:rFonts w:ascii="Times New Roman" w:cs="Times New Roman" w:eastAsia="Times New Roman" w:hAnsi="Times New Roman"/>
          <w:sz w:val="18"/>
          <w:szCs w:val="18"/>
          <w:b w:val="1"/>
          <w:bCs w:val="1"/>
          <w:color w:val="auto"/>
        </w:rPr>
        <w:t>Public Filings</w:t>
      </w:r>
      <w:r>
        <w:rPr>
          <w:rFonts w:ascii="Times New Roman" w:cs="Times New Roman" w:eastAsia="Times New Roman" w:hAnsi="Times New Roman"/>
          <w:sz w:val="18"/>
          <w:szCs w:val="18"/>
          <w:color w:val="auto"/>
        </w:rPr>
        <w:t>”) and (ii) this Agreement (including the exhibits hereto) (collectively, the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(b) it has had a full opportunity to ask questions of the Company concerning the Company, its business, operations, financial performance, financial condition and prospects, and the terms and conditions of the Purchase, and to obtain from the Company any information that it considers necessary in making an informed decision with respect to the Purchase and to verify the accuracy of the information set forth in the Public Filings and the other Materials, (c) it has had the opportunity to consult with its accounting, tax, financial and legal advisors to be able to evaluate the risks involved in the Purchase and to make an informed decision with respect to the Purchase, (d) it is experienced, sophisticated and knowledgeable in the trading of securities and is able to fend for itself in the Purchase, (e) it is not relying, and has not relied, upon any statement, advice (whether accounting, tax, financial, legal or other), representation or warranty made by the Company or any of its affiliates or representatives or any other entity or person, including J. Wood Capital Advisors LLC (“</w:t>
      </w:r>
      <w:r>
        <w:rPr>
          <w:rFonts w:ascii="Times New Roman" w:cs="Times New Roman" w:eastAsia="Times New Roman" w:hAnsi="Times New Roman"/>
          <w:sz w:val="18"/>
          <w:szCs w:val="18"/>
          <w:b w:val="1"/>
          <w:bCs w:val="1"/>
          <w:color w:val="auto"/>
        </w:rPr>
        <w:t>J. Wood Capital Advisors</w:t>
      </w:r>
      <w:r>
        <w:rPr>
          <w:rFonts w:ascii="Times New Roman" w:cs="Times New Roman" w:eastAsia="Times New Roman" w:hAnsi="Times New Roman"/>
          <w:sz w:val="18"/>
          <w:szCs w:val="18"/>
          <w:color w:val="auto"/>
        </w:rPr>
        <w:t>”), except for the representations and warranties made by the Company in this Agreement, (f) it had a sufficient amount of time to consider whether to participate in the Purchase and that neither the Company nor J. Wood Capital Advisors has placed any pressure on it to respond to the opportunity to participate in the Purchase, (g) the terms of the Purchase are the result of bilateral negotiations between the parties, and each of the Undersigned and Holders was given a meaningful opportunity to negotiate the terms of the Purchase, (h) each Holder has evaluated the tax and other consequences of the Transactions with its tax, accounting or legal advisors, and (i) the Company is not acting as a fiduciary or financial or investment advisor to the Undersigned or any Holder. Each of the Undersigned and the Holders further acknowledges that it understands that the Company intends to pay J. Wood Capital Advisors a fee in respect of the Transactions.</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The Undersigned acknowledges and agrees that it and each Holder has not disclosed, and will not disclose,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any information regarding the Company or the Transactions, and that it has not transacted, and will not transact in any securities of the Company, including, but not limited to, any hedging transactions, from the time the Holder was first contacted by the Company or the J. Wood Capital Advisors with respect to the Transactions until after the confidential information (as described in the confirmatory email received by the Holder from J. Wood Capital Advisors (the “</w:t>
      </w:r>
      <w:r>
        <w:rPr>
          <w:rFonts w:ascii="Times New Roman" w:cs="Times New Roman" w:eastAsia="Times New Roman" w:hAnsi="Times New Roman"/>
          <w:sz w:val="18"/>
          <w:szCs w:val="18"/>
          <w:b w:val="1"/>
          <w:bCs w:val="1"/>
          <w:color w:val="auto"/>
        </w:rPr>
        <w:t>Wall Cross Email</w:t>
      </w:r>
      <w:r>
        <w:rPr>
          <w:rFonts w:ascii="Times New Roman" w:cs="Times New Roman" w:eastAsia="Times New Roman" w:hAnsi="Times New Roman"/>
          <w:sz w:val="18"/>
          <w:szCs w:val="18"/>
          <w:color w:val="auto"/>
        </w:rPr>
        <w:t>”)) is made public.</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Withholding; Required Tax 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agrees that it shall obtain from each Holder and deliver to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complete and accurate IRS Form W-9 or IRS Form W-8BEN, W-8BEN-E or W-8ECI, as appropriate. The Undersigned acknowledges that, if a Holder is a United States person for U.S. federal income tax purposes, then the Company must be provided with a correct taxpayer identification number (generally, a person’s social security or federal employer identification number) and certain other information on a properly completed and executed IRS Form W-9 for the Holder, which is provided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to this Purchase Agreement. The Undersigned further acknowledges that, if a Holder is not a United States person for U.S. federal income tax purposes, then the Company must be provided with the appropriate properly completed and executed IRS Form W-8, attesting to that non-U.S. Holder’s foreign status and certain other information, including information establishing an exemption from withholding under Sections 1471 through 1474 of the Code. The Undersigned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acknowledges that any Holder may be subject to 30% U.S. federal withholding or 24% U.S. federal backup withholding on certain payments or deliveries made to such Holder unless such Holder properly establishes an exemption from, or a reduced rate of, such withholding or backup withholding. Without limiting the generality of the foregoing, the Undersigned on behalf of each Holder hereby represents that it is able to receive any Purchase Cash hereunder (including any amounts attributable to accrued and unpaid interest) without any U.S. withholding tax and is entitled to provide U.S. tax forms and required attachments indicating the same (including, where relevant, any certifications indicating that the Holder fulfills the requirements of “portfolio interest exemption” as indicated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and agrees to hold the Company and its agents harmless for the breach of such representation.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Further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agrees that the Undersigned shall and shall cause each Holder to promptly execute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further agreements and instruments and take such further actions, as the Company may reasonably request in order to carry out the purposes and intent of this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and each Holder is an institutional “accredited investor” as defined in Rule 501(a)(1), (2), (3) or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of 1933, as amended, and a “qualified institutional buyer” as defined in Rule 144A under the Securities Act of 1933, as amended. The Undersigned agrees to furnish any additional information regarding the Undersigned or any Holder reasonably requested by the Company or any of its affiliates to assure compliance with applicable U.S. federal and state securities laws in connection with the Purchase.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r>
        <w:rPr>
          <w:rFonts w:ascii="Times New Roman" w:cs="Times New Roman" w:eastAsia="Times New Roman" w:hAnsi="Times New Roman"/>
          <w:sz w:val="18"/>
          <w:szCs w:val="18"/>
          <w:b w:val="1"/>
          <w:bCs w:val="1"/>
          <w:color w:val="auto"/>
        </w:rPr>
        <w:t>: Representations and Warranties of the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covenants as follows, and makes the following representations and warranties, each of which is and shall be true and correct on the date hereof and at the Closing:</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Power and Authorization</w:t>
      </w:r>
      <w:r>
        <w:rPr>
          <w:rFonts w:ascii="Times New Roman" w:cs="Times New Roman" w:eastAsia="Times New Roman" w:hAnsi="Times New Roman"/>
          <w:sz w:val="18"/>
          <w:szCs w:val="18"/>
          <w:color w:val="auto"/>
        </w:rPr>
        <w:t>. The Company is duly incorporated, validly existing and in good standing under the laws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incorporation, and has the power, authority and capacity to execute and deliver this Agreement, to perform its obligations hereunder, and to consummate the Transactions. No material consent, approval, order or authorization of, or material registration, declaration or filing with any governmental entity is required on the part of the Company in connection with the execution, delivery and performance by it of this Agreement and the consummation by the Company of the Transactions, except as may be required under any state or federal securities laws or that may be obtained after the Closing without penalty or such that would not, individually or in the aggregate, reasonably be expected to have a material adverse effect on the financial position or results of operations of the Company and its subsidiaries, taken as a whole.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Valid and Enforceable Agreements; No Violations</w:t>
      </w:r>
      <w:r>
        <w:rPr>
          <w:rFonts w:ascii="Times New Roman" w:cs="Times New Roman" w:eastAsia="Times New Roman" w:hAnsi="Times New Roman"/>
          <w:sz w:val="18"/>
          <w:szCs w:val="18"/>
          <w:color w:val="auto"/>
        </w:rPr>
        <w:t>. This Agreement has been duly executed and delivered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legal, valid and binding obligation of the Company, enforceable against the Company in accordance with its terms, except that such enforcement may be subject to the Enforceability Exceptions. This Agreement and consummation of the Transactions by the Company will not violate, conflict with or result in a breach of or default under (a) the certificate of incorporation, bylaws or other organizational documents of the Company, (b) any material agreement or instrument to which the Company is a party or by which the Company or any of its assets are bound, or (c) any laws, regulations or governmental or judicial decrees, injunctions or orders applicable to the Company, except in the case of clauses (b) or (c), where such violations, conflicts, breaches or defaults would not, individually or in the aggregate, reasonably be expected to have a material adverse effect on the financial position or results of operations of the Company and its subsidiaries, taken as a whole, or affect the Company’s ability to consummate the Transactions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Conditions &amp; Notification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Conditions to Obligations of the Undersigned, each Holder and the Company</w:t>
      </w:r>
      <w:r>
        <w:rPr>
          <w:rFonts w:ascii="Times New Roman" w:cs="Times New Roman" w:eastAsia="Times New Roman" w:hAnsi="Times New Roman"/>
          <w:sz w:val="18"/>
          <w:szCs w:val="18"/>
          <w:color w:val="auto"/>
        </w:rPr>
        <w:t>. The obligations of the Undersigned to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Holder to deliver the Purchased Notes and of the Company to deliver the Cash Consideration are subject to the satisfaction at or prior to the Closing of the condition precedent that the representations and warranties of the Holders and the Company contained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respectively, shall be true and correct as of the Closing in all material respects with the same effect as though such representations and warranties had been made as of the Closing and, unless notice is given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below, each of the representations and warranties contained therein shall be deemed to have been reaffirmed and confirmed as of the Closing Date.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Notification</w:t>
      </w:r>
      <w:r>
        <w:rPr>
          <w:rFonts w:ascii="Times New Roman" w:cs="Times New Roman" w:eastAsia="Times New Roman" w:hAnsi="Times New Roman"/>
          <w:sz w:val="18"/>
          <w:szCs w:val="18"/>
          <w:color w:val="auto"/>
        </w:rPr>
        <w:t>. The Undersigned hereby covenants and agrees to notify the Company upon the occurrence of any event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that would cause any representation, warranty, or covenant contained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be false or incorrect in any material respect. The Company hereby covenants and agrees to notify the Undersigned upon the occurrence of any event prior to the Closing that would cause any representation, warranty, or covenant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be false or incorrect in any material respect.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At or prior to 9:00 a.m., New York City time, on the first business day after the date hereof, the Company shall,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either file with the Commission a current report on Form 8-K or issue a press release announcing the Transactions, which current report or press release the Company acknowledges and agrees will disclose all confidential information (as described in the Wall Cross Email) to the extent the Company believes such confidential information constitutes material non-public information, if any, with respect to the Transactions or otherwise communicated by the Company to the Undersigned in connection with the Transactions. Without the prior written consent of the Undersigned, the Company shall not disclose the name of the Undersigned or any Holder in any filing or announcement, unless such disclosure is required by applicable law, rule, regulation or legal process based on advice of counsel.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r>
        <w:rPr>
          <w:rFonts w:ascii="Times New Roman" w:cs="Times New Roman" w:eastAsia="Times New Roman" w:hAnsi="Times New Roman"/>
          <w:sz w:val="18"/>
          <w:szCs w:val="18"/>
          <w:b w:val="1"/>
          <w:bCs w:val="1"/>
          <w:color w:val="auto"/>
        </w:rPr>
        <w:t>: 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All notices, requests, and other communications given, made or delivered pursuant to this Agreement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deemed effectively given, made or delivered upon the earlier of actual receipt or: (a) personal delivery to the party to be notified; (b) when sent, if sent by electronic mail (to the extent an electronic mail address is provided) during the recipient’s normal business hours, and if not sent during normal business hours, then on the recipient’s next business day; (c) five days after having been sent by registered or certified mail, return receipt requested, postage prepaid; or (d) one business day after the business day of deposit with a nationally recognized overnight courier, freight prepaid, specifying next-day delivery, with written verification of receipt. The addresses for any such notices shall be, unless changed by the applicable party via notice to the other parties in accordance herewith:</w:t>
      </w:r>
    </w:p>
    <w:p>
      <w:pPr>
        <w:spacing w:after="0" w:line="187" w:lineRule="exact"/>
        <w:rPr>
          <w:sz w:val="20"/>
          <w:szCs w:val="20"/>
          <w:color w:val="auto"/>
        </w:rPr>
      </w:pPr>
    </w:p>
    <w:p>
      <w:pPr>
        <w:ind w:left="100"/>
        <w:spacing w:after="0"/>
        <w:tabs>
          <w:tab w:leader="none" w:pos="380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line="216" w:lineRule="exact"/>
        <w:rPr>
          <w:sz w:val="20"/>
          <w:szCs w:val="20"/>
          <w:color w:val="auto"/>
        </w:rPr>
      </w:pPr>
    </w:p>
    <w:p>
      <w:pPr>
        <w:ind w:left="100"/>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Gregg Noel; Yossi Vebman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Gregg.noel@skadden.com; Yossi.vebman@skadden.com</w:t>
      </w:r>
    </w:p>
    <w:p>
      <w:pPr>
        <w:spacing w:after="0" w:line="200" w:lineRule="exact"/>
        <w:rPr>
          <w:sz w:val="20"/>
          <w:szCs w:val="20"/>
          <w:color w:val="auto"/>
        </w:rPr>
      </w:pPr>
    </w:p>
    <w:p>
      <w:pPr>
        <w:sectPr>
          <w:pgSz w:w="11900" w:h="16838" w:orient="portrait"/>
          <w:cols w:equalWidth="0" w:num="2">
            <w:col w:w="3620" w:space="200"/>
            <w:col w:w="7420"/>
          </w:cols>
          <w:pgMar w:left="320" w:top="553" w:right="339" w:bottom="1440" w:gutter="0" w:footer="0" w:header="0"/>
        </w:sectPr>
      </w:pPr>
    </w:p>
    <w:p>
      <w:pPr>
        <w:spacing w:after="0" w:line="1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any documents and agreements executed in connection with the Transactions embody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 and understanding of the parties hereto with respect to the subject matter hereof and supersede all prior and contemporaneous oral or written agreements, representations, warranties, contracts, correspondence, conversations, memoranda and understandings between or among the parties or any of their agents, representatives or affiliates relative to such subject matter, including, without limitation, any term sheets, emails or draft documents.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each hereby agree to execute and deliver, or cause to be executed and delivered,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documents, instruments and agreements, and take such other actions, including giving any further assurances, as any party may reasonably request in connection with the Transactions contemplated by and in this Agreement. In addition, subject to the terms and conditions set forth in this Agreement, each of the parties shall use its reasonable best efforts (subject to, and in accordance with, applicable law) to take promptly, or to cause to be taken, all actions, and to do promptly, or to cause to be done, and to assist and to cooperate with the other parties in doing, all things necessary, proper or advisable under applicable laws to consummate and make effective the Transactions contemplated hereby, including the obtaining of all necessary, proper or advisable consents, approvals or waivers from third parties and the execution and delivery of any additional instruments reasonably necessary, proper or advisable to consummate the Transactions contemplated hereby.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Waiver,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this Agreement nor any provisions hereof or thereof shall be modified, changed or discharged,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by an instrument in writing, signed by the Company and the Undersigned.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Assignment; Binding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inure to the benefit of and be binding upon the parties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No party shall assign this Agreement or any rights or obligations hereunder or, in the case of the Holders, any of the Purchased Notes held by such Holders, without the prior written consent of the Company (in the case of assignment by a Holder) or the applicable Holders (in the case of assignment by the Company).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EACH OF THE COMPANY, THE UNDERSIGNED AND EACH HOLDER HEREBY IRREVOCABLY WAIVES ANY AND ALL RIGHT TO TRIAL BY JURY WITH RESPECT TO ANY LEGAL PROCEEDING ARISING OUT OF THE TRANSACTIONS CONTEMPLATED BY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laws of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such state’s rules concerning conflicts of laws that might provide for any other choice of law.</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Submission to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Company, the Undersigned and each Holder: (a) agrees that any legal suit, 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arising out of or relating to this Agreement or the transactions contemplated hereby shall be instituted exclusively in the courts of the State of New York located in the City and County of New York or in the United States District Court for the Southern District of New York; (b) waives any objection that it may now or hereafter have to the venue of any such suit, action or proceeding; and (c) irrevocably consents to the jurisdiction of the aforesaid courts in any such suit, action or proceeding. Each of the Company, the Undersigned and each Holder agrees that a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judgment in any such action or proceeding shall be conclusive and may be enforced in other jurisdictions by suit on the judgment or in any other manner provided by law.</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Company, the Undersigned and each Holder irrevocably and unconditionally waives, to the fullest extent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legally and effectively do so, any objection which it may now or hereafter have to the laying of venue of any suit, action or proceeding arising out of or relating to this Agreement in any court referred to in Section 5.8. Each of the Company, the Undersigned and each Holder irrevocably waives, to the fullest extent permitted by law, the defense of an inconvenient forum to the maintenance of such action or proceeding in any such court.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Service of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Company, the Undersigned and each Holder irrevocably consents to service of process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provided for notices in Section 5.1. Nothing in this Agreement will affect the right of the Company, the Undersigned or any Holder to serve process in any other manner permitted by law.</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two or more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Third Party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also intended for the immediate benefit of J. Wood Capital Advisors. J. Wood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Advisors may rely on the provisions of this Agreement, including, but not limited to, the respective covenants, representations and warranties of the Undersigned, the Holders and the Company. The Undersigned, for itself and on behalf of each Holder, agrees that J. Wood Capital Advisors shall not have any liability (whether direct or indirect, in contract or tort or otherwise) to the Undersigned or any Holder for or in connection with the Repurchase, except for any such liability for losses, claims, damages or liabilities (or fees or expenses relating thereto) incurred by the Undersigned or any Holder that are finally judicially determined to have resulted from the bad faith or gross negligence of J. Wood Capital Advisors.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in the singular shall include the plural, and vice versa, unless the context otherwise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in the masculine shall include the feminine and neuter, and vice versa, unless the context otherwise requires. Headings in this Agreement are for convenience of reference only and shall not limit or otherwise affect the meanings of the provisions hereof. Neither party, nor its respective counsel, shall be deemed the drafter of this Agreement for purposes of construing the provisions of this Agreement, and all language in all parts of this Agreement shall be construed in accordance with its fair meaning, and not strictly for or against either 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left="620"/>
        <w:spacing w:after="0"/>
        <w:rPr>
          <w:sz w:val="20"/>
          <w:szCs w:val="20"/>
          <w:color w:val="auto"/>
        </w:rPr>
      </w:pPr>
      <w:r>
        <w:rPr>
          <w:rFonts w:ascii="Times New Roman" w:cs="Times New Roman" w:eastAsia="Times New Roman" w:hAnsi="Times New Roman"/>
          <w:sz w:val="17"/>
          <w:szCs w:val="17"/>
          <w:color w:val="auto"/>
        </w:rPr>
        <w:t>IN WITNESS WHEREOF, each of the parties hereto has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CONMED CORPORATION</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vMerge w:val="continue"/>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J. Beyer</w:t>
            </w:r>
          </w:p>
        </w:tc>
        <w:tc>
          <w:tcPr>
            <w:tcW w:w="0" w:type="dxa"/>
            <w:vAlign w:val="bottom"/>
          </w:tcPr>
          <w:p>
            <w:pPr>
              <w:spacing w:after="0"/>
              <w:rPr>
                <w:sz w:val="1"/>
                <w:szCs w:val="1"/>
                <w:color w:val="auto"/>
              </w:rPr>
            </w:pPr>
          </w:p>
        </w:tc>
      </w:tr>
      <w:tr>
        <w:trPr>
          <w:trHeight w:val="27"/>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vMerge w:val="continue"/>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661" w:right="1440"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7"/>
          <w:szCs w:val="17"/>
          <w:color w:val="auto"/>
        </w:rPr>
        <w:t>IN WITNESS WHEREOF, each of the parties hereto has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NAME OF SIGNATORY]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345440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capacities described in the first paragraph hereof)</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6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250190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553"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405"/>
        </w:trPr>
        <w:tc>
          <w:tcPr>
            <w:tcW w:w="2220" w:type="dxa"/>
            <w:vAlign w:val="bottom"/>
            <w:tcBorders>
              <w:top w:val="single" w:sz="8" w:color="auto"/>
              <w:left w:val="single" w:sz="8" w:color="auto"/>
            </w:tcBorders>
          </w:tcPr>
          <w:p>
            <w:pPr>
              <w:spacing w:after="0"/>
              <w:rPr>
                <w:sz w:val="24"/>
                <w:szCs w:val="24"/>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Holder</w:t>
            </w:r>
          </w:p>
        </w:tc>
        <w:tc>
          <w:tcPr>
            <w:tcW w:w="220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40" w:type="dxa"/>
            <w:vAlign w:val="bottom"/>
            <w:tcBorders>
              <w:top w:val="single" w:sz="8" w:color="auto"/>
              <w:right w:val="single" w:sz="8" w:color="auto"/>
            </w:tcBorders>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Purchased Notes</w:t>
            </w:r>
          </w:p>
        </w:tc>
        <w:tc>
          <w:tcPr>
            <w:tcW w:w="780" w:type="dxa"/>
            <w:vAlign w:val="bottom"/>
            <w:tcBorders>
              <w:top w:val="single" w:sz="8" w:color="auto"/>
            </w:tcBorders>
          </w:tcPr>
          <w:p>
            <w:pPr>
              <w:spacing w:after="0"/>
              <w:rPr>
                <w:sz w:val="24"/>
                <w:szCs w:val="24"/>
                <w:color w:val="auto"/>
              </w:rPr>
            </w:pPr>
          </w:p>
        </w:tc>
        <w:tc>
          <w:tcPr>
            <w:tcW w:w="23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r>
      <w:tr>
        <w:trPr>
          <w:trHeight w:val="20"/>
        </w:trPr>
        <w:tc>
          <w:tcPr>
            <w:tcW w:w="22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r>
      <w:tr>
        <w:trPr>
          <w:trHeight w:val="432"/>
        </w:trPr>
        <w:tc>
          <w:tcPr>
            <w:tcW w:w="4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Name, Address, Email and Phone Number</w:t>
            </w:r>
            <w:r>
              <w:rPr>
                <w:rFonts w:ascii="Times New Roman" w:cs="Times New Roman" w:eastAsia="Times New Roman" w:hAnsi="Times New Roman"/>
                <w:sz w:val="18"/>
                <w:szCs w:val="18"/>
                <w:color w:val="auto"/>
                <w:w w:val="99"/>
              </w:rPr>
              <w:t>)</w:t>
            </w:r>
          </w:p>
        </w:tc>
        <w:tc>
          <w:tcPr>
            <w:tcW w:w="3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amount of</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r>
      <w:tr>
        <w:trPr>
          <w:trHeight w:val="216"/>
        </w:trPr>
        <w:tc>
          <w:tcPr>
            <w:tcW w:w="22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Purchased Notes to be sold</w:t>
            </w: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36"/>
        </w:trPr>
        <w:tc>
          <w:tcPr>
            <w:tcW w:w="222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for Cash Consideration</w:t>
            </w:r>
            <w:r>
              <w:rPr>
                <w:rFonts w:ascii="Times New Roman" w:cs="Times New Roman" w:eastAsia="Times New Roman" w:hAnsi="Times New Roman"/>
                <w:sz w:val="18"/>
                <w:szCs w:val="18"/>
                <w:color w:val="auto"/>
                <w:w w:val="99"/>
              </w:rPr>
              <w:t>)</w:t>
            </w:r>
          </w:p>
        </w:tc>
        <w:tc>
          <w:tcPr>
            <w:tcW w:w="7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426"/>
        </w:trPr>
        <w:tc>
          <w:tcPr>
            <w:tcW w:w="2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425"/>
        </w:trPr>
        <w:tc>
          <w:tcPr>
            <w:tcW w:w="2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426"/>
        </w:trPr>
        <w:tc>
          <w:tcPr>
            <w:tcW w:w="2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426"/>
        </w:trPr>
        <w:tc>
          <w:tcPr>
            <w:tcW w:w="2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425"/>
        </w:trPr>
        <w:tc>
          <w:tcPr>
            <w:tcW w:w="2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426"/>
        </w:trPr>
        <w:tc>
          <w:tcPr>
            <w:tcW w:w="2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425"/>
        </w:trPr>
        <w:tc>
          <w:tcPr>
            <w:tcW w:w="2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581"/>
        </w:trPr>
        <w:tc>
          <w:tcPr>
            <w:tcW w:w="2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Instructions and Purchase Procedures</w:t>
      </w: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Attached are Purchase Procedures for the purchase 2.250% Convertible Notes due 2027, CUSIP 207410 AH4/ISIN US207410AH48 (the </w:t>
      </w:r>
      <w:r>
        <w:rPr>
          <w:rFonts w:ascii="Times New Roman" w:cs="Times New Roman" w:eastAsia="Times New Roman" w:hAnsi="Times New Roman"/>
          <w:sz w:val="18"/>
          <w:szCs w:val="18"/>
          <w:b w:val="1"/>
          <w:bCs w:val="1"/>
          <w:color w:val="auto"/>
        </w:rPr>
        <w:t>“2027 Notes</w:t>
      </w:r>
      <w:r>
        <w:rPr>
          <w:rFonts w:ascii="Times New Roman" w:cs="Times New Roman" w:eastAsia="Times New Roman" w:hAnsi="Times New Roman"/>
          <w:sz w:val="18"/>
          <w:szCs w:val="18"/>
          <w:color w:val="auto"/>
        </w:rPr>
        <w:t>”) of CONMED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Cash Consideration (as defined in and pursuant to this Agreement between you and the Company), which is expected to occur on or about June 15, 2026. To ensure timely settlement, please follow the instructions as set forth below.</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These instructions supersede any prior instructions you received. Your failure to comply with the attached instructions may delay your receipt of the Purchase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deliver 2027 Notes: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You must post, </w:t>
      </w:r>
      <w:r>
        <w:rPr>
          <w:rFonts w:ascii="Times New Roman" w:cs="Times New Roman" w:eastAsia="Times New Roman" w:hAnsi="Times New Roman"/>
          <w:sz w:val="18"/>
          <w:szCs w:val="18"/>
          <w:b w:val="1"/>
          <w:bCs w:val="1"/>
          <w:color w:val="auto"/>
        </w:rPr>
        <w:t>no later than 9:00 a.m, New York City time</w:t>
      </w:r>
      <w:r>
        <w:rPr>
          <w:rFonts w:ascii="Times New Roman" w:cs="Times New Roman" w:eastAsia="Times New Roman" w:hAnsi="Times New Roman"/>
          <w:sz w:val="18"/>
          <w:szCs w:val="18"/>
          <w:color w:val="auto"/>
        </w:rPr>
        <w:t xml:space="preserve">, a withdrawal request for the 2027 Notes through the DTC via DWAC. </w:t>
      </w:r>
      <w:r>
        <w:rPr>
          <w:rFonts w:ascii="Times New Roman" w:cs="Times New Roman" w:eastAsia="Times New Roman" w:hAnsi="Times New Roman"/>
          <w:sz w:val="18"/>
          <w:szCs w:val="18"/>
          <w:b w:val="1"/>
          <w:bCs w:val="1"/>
          <w:color w:val="auto"/>
        </w:rPr>
        <w:t>It is important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instruction be submitted and the DWAC posted on June 15, 2026</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receive Purchase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must provide valid wire instructions to the Company. You will then receive the Purchase Cash from the Company on the 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15, 2026, after the Company receives your delivery instructions as set forth above and a withdrawal request in respect of the 2027 Notes has been posted as specified above, and subject to the satisfaction of the conditions to Closing as set forth in this Agreement, the Company will deliver the Cash Consideration in respect of the 2027 Notes in accordance with the delivery instructions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063740" cy="3068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3068955"/>
                    </a:xfrm>
                    <a:prstGeom prst="rect">
                      <a:avLst/>
                    </a:prstGeom>
                    <a:noFill/>
                  </pic:spPr>
                </pic:pic>
              </a:graphicData>
            </a:graphic>
          </wp:anchor>
        </w:drawing>
        <w:t>Holder: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 of Residence: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Taxpayer Identification Number: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 Instructions for Exchange Consideration: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Name:</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Address: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ABA Routing #:</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Name:</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Contact Person: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for Notes:</w:t>
      </w:r>
    </w:p>
    <w:p>
      <w:pPr>
        <w:spacing w:after="0" w:line="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DTC Participant Phone Number:</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DTC Participant Contact Email:</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FFC Account #:</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Account # at Bank/Broker: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941" w:right="1440" w:bottom="1440" w:gutter="0" w:footer="0" w:header="0"/>
        </w:sectPr>
      </w:pPr>
    </w:p>
    <w:bookmarkStart w:id="15" w:name="page16"/>
    <w:bookmarkEnd w:id="15"/>
    <w:p>
      <w:pPr>
        <w:ind w:left="516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Backup Withholding Tax</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U.S. federal income tax law, a Holder who sells Outstanding Notes for Cash Considerations generally must provide such Holder’s correct taxpayer identification number (“</w:t>
      </w:r>
      <w:r>
        <w:rPr>
          <w:rFonts w:ascii="Times New Roman" w:cs="Times New Roman" w:eastAsia="Times New Roman" w:hAnsi="Times New Roman"/>
          <w:sz w:val="18"/>
          <w:szCs w:val="18"/>
          <w:b w:val="1"/>
          <w:bCs w:val="1"/>
          <w:color w:val="auto"/>
        </w:rPr>
        <w:t>TIN</w:t>
      </w:r>
      <w:r>
        <w:rPr>
          <w:rFonts w:ascii="Times New Roman" w:cs="Times New Roman" w:eastAsia="Times New Roman" w:hAnsi="Times New Roman"/>
          <w:sz w:val="18"/>
          <w:szCs w:val="18"/>
          <w:color w:val="auto"/>
        </w:rPr>
        <w:t xml:space="preserve">”) on IRS Form W-9 (attached hereto) or otherwise establish a basis for exemption from backup withholding. A TIN is generally an individual holder’s social security number or a Holder’s employer identification number. If the correct TIN is not provided, the Holder may be subject to a $50 penalty imposed by the IRS. In addition, certain payments made to holders may be subject to U.S. backup withholding tax (currently set at 24% of the payment). If a Holder is required to provide a TIN but does not have a TIN, the Holder should consult its tax advisor regarding how to obtain a TIN. Certain holders are not subject to these backup withholding and reporting requirements. Non-U.S. Holders generally may establish their status as exempt recipients from backup withholding by submitting a properly completed applicable IRS Form W-8 (available from the Company or the IRS at </w:t>
      </w:r>
      <w:r>
        <w:rPr>
          <w:rFonts w:ascii="Times New Roman" w:cs="Times New Roman" w:eastAsia="Times New Roman" w:hAnsi="Times New Roman"/>
          <w:sz w:val="18"/>
          <w:szCs w:val="18"/>
          <w:u w:val="single" w:color="auto"/>
          <w:color w:val="auto"/>
        </w:rPr>
        <w:t>www.irs.gov</w:t>
      </w:r>
      <w:r>
        <w:rPr>
          <w:rFonts w:ascii="Times New Roman" w:cs="Times New Roman" w:eastAsia="Times New Roman" w:hAnsi="Times New Roman"/>
          <w:sz w:val="18"/>
          <w:szCs w:val="18"/>
          <w:color w:val="auto"/>
        </w:rPr>
        <w:t>), signed, under penalties of perjury, attesting to such Non-U.S. Holder’s exempt foreign status. U.S. backup withholding is not an additional tax. Rather, the U.S. federal income tax liability of persons subject to backup withholding will be reduced by the amount of tax withheld. If withholding results in an overpayment of taxes, a refund may be obtained provided that the required information is timely furnished to the IRS. Holders are urged to consult their tax advisors regarding how to complete the appropriate forms and to determine whether they are exempt from backup withholding or other withholding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Portfolio Interest Exemption (for Holders That Are Not U.S. Persons for U.S. Federal Income Tax Purposes)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U.S. federal income tax law, a Holder that sells Outstanding Notes for Cash Consideration and is otherwise not eligible to provide an IRS Form W-9 must claim an exemption from U.S. withholding tax on payments or deliveries attributable to accrued and unpaid interest. Any Holder that claims such an exemption under the so-called “portfolio interest exemption” is hereby deemed to represent and certify (along with providing the applicable IRS Form W-8BEN or W-8BEN-E) as set forth in Section C below. However, if the Holder is an intermediary, a foreign partnership or other flow-through entity, then the adjustments shown below in Section A and Section B below will be made to the representations in Section C:</w:t>
      </w:r>
    </w:p>
    <w:p>
      <w:pPr>
        <w:spacing w:after="0" w:line="18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representation will be provided as applied to the Holder:</w:t>
      </w:r>
    </w:p>
    <w:p>
      <w:pPr>
        <w:spacing w:after="0" w:line="11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record ownership under Clause I.</w:t>
      </w:r>
    </w:p>
    <w:p>
      <w:pPr>
        <w:spacing w:after="0" w:line="116" w:lineRule="exact"/>
        <w:rPr>
          <w:rFonts w:ascii="Arial" w:cs="Arial" w:eastAsia="Arial" w:hAnsi="Arial"/>
          <w:sz w:val="18"/>
          <w:szCs w:val="18"/>
          <w:b w:val="1"/>
          <w:bCs w:val="1"/>
          <w:color w:val="auto"/>
        </w:rPr>
      </w:pPr>
    </w:p>
    <w:p>
      <w:pPr>
        <w:ind w:left="1300" w:right="26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representations will be provided as applied to the partners, members or beneficial owners claiming the portfolio interest exemption:</w:t>
      </w:r>
    </w:p>
    <w:p>
      <w:pPr>
        <w:spacing w:after="0" w:line="53"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beneficial ownership under Clause I,</w:t>
      </w:r>
    </w:p>
    <w:p>
      <w:pPr>
        <w:spacing w:after="0" w:line="116" w:lineRule="exact"/>
        <w:rPr>
          <w:rFonts w:ascii="Arial" w:cs="Arial" w:eastAsia="Arial" w:hAnsi="Arial"/>
          <w:sz w:val="18"/>
          <w:szCs w:val="18"/>
          <w:b w:val="1"/>
          <w:bCs w:val="1"/>
          <w:color w:val="auto"/>
        </w:rPr>
      </w:pPr>
    </w:p>
    <w:p>
      <w:pPr>
        <w:ind w:left="1620" w:hanging="316"/>
        <w:spacing w:after="0"/>
        <w:tabs>
          <w:tab w:leader="none" w:pos="162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status in Clause III, and</w:t>
      </w:r>
    </w:p>
    <w:p>
      <w:pPr>
        <w:spacing w:after="0" w:line="116" w:lineRule="exact"/>
        <w:rPr>
          <w:rFonts w:ascii="Arial" w:cs="Arial" w:eastAsia="Arial" w:hAnsi="Arial"/>
          <w:sz w:val="18"/>
          <w:szCs w:val="18"/>
          <w:b w:val="1"/>
          <w:bCs w:val="1"/>
          <w:color w:val="auto"/>
        </w:rPr>
      </w:pPr>
    </w:p>
    <w:p>
      <w:pPr>
        <w:ind w:left="1620" w:hanging="316"/>
        <w:spacing w:after="0"/>
        <w:tabs>
          <w:tab w:leader="none" w:pos="162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status in Clause IV.</w:t>
      </w:r>
    </w:p>
    <w:p>
      <w:pPr>
        <w:spacing w:after="0" w:line="11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representation will be provided as applied to the Holder as well as the partners, members:</w:t>
      </w:r>
    </w:p>
    <w:p>
      <w:pPr>
        <w:spacing w:after="0" w:line="117" w:lineRule="exact"/>
        <w:rPr>
          <w:sz w:val="20"/>
          <w:szCs w:val="20"/>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sole record and beneficial owner of the Outstanding Notes in respect of which it is providing this certification.</w:t>
      </w:r>
    </w:p>
    <w:p>
      <w:pPr>
        <w:spacing w:after="0" w:line="117"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“bank” (within the meaning of Section 881(c)(3)(A) of the Code).</w:t>
      </w:r>
    </w:p>
    <w:p>
      <w:pPr>
        <w:spacing w:after="0" w:line="117" w:lineRule="exact"/>
        <w:rPr>
          <w:sz w:val="20"/>
          <w:szCs w:val="20"/>
          <w:color w:val="auto"/>
        </w:rPr>
      </w:pPr>
    </w:p>
    <w:p>
      <w:pPr>
        <w:ind w:left="1960" w:right="100" w:hanging="656"/>
        <w:spacing w:after="0" w:line="282" w:lineRule="auto"/>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“10-percent shareholder” of the Company (within the meaning of Section 881(c)(3)(B) or Section 871(h)(3)(B)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7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IV.</w:t>
            </w:r>
          </w:p>
        </w:tc>
        <w:tc>
          <w:tcPr>
            <w:tcW w:w="9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 is not a “controlled foreign corporation” (as such term is described in Section 881(c)(3)(C) of the Code) related to the</w:t>
            </w:r>
          </w:p>
        </w:tc>
      </w:tr>
      <w:tr>
        <w:trPr>
          <w:trHeight w:val="234"/>
        </w:trPr>
        <w:tc>
          <w:tcPr>
            <w:tcW w:w="174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(within the meaning of Section 864(d)(4) of the Code).</w:t>
            </w:r>
          </w:p>
        </w:tc>
      </w:tr>
      <w:tr>
        <w:trPr>
          <w:trHeight w:val="1101"/>
        </w:trPr>
        <w:tc>
          <w:tcPr>
            <w:tcW w:w="174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lvl w:ilvl="1">
      <w:lvlJc w:val="left"/>
      <w:lvlText w:val="·"/>
      <w:numFmt w:val="bullet"/>
      <w:start w:val="1"/>
    </w:lvl>
  </w:abstractNum>
  <w:abstractNum w:abstractNumId="3">
    <w:nsid w:val="46E87CCD"/>
    <w:multiLevelType w:val="hybridMultilevel"/>
    <w:lvl w:ilvl="0">
      <w:lvlJc w:val="left"/>
      <w:lvlText w:val="%1."/>
      <w:numFmt w:val="upperLetter"/>
      <w:start w:val="9"/>
    </w:lvl>
  </w:abstractNum>
  <w:abstractNum w:abstractNumId="4">
    <w:nsid w:val="3D1B58BA"/>
    <w:multiLevelType w:val="hybridMultilevel"/>
    <w:lvl w:ilvl="0">
      <w:lvlJc w:val="left"/>
      <w:lvlText w:val="%1."/>
      <w:numFmt w:val="upperLetter"/>
      <w:start w:val="35"/>
    </w:lvl>
  </w:abstractNum>
  <w:abstractNum w:abstractNumId="5">
    <w:nsid w:val="507ED7AB"/>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2026-06-04T06:32:32Z</dcterms:created>
  <dcterms:modified xsi:type="dcterms:W3CDTF">2026-06-04T06:32:32Z</dcterms:modified>
</cp:coreProperties>
</file>