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1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UNITED STATES</w:t>
      </w:r>
    </w:p>
    <w:p>
      <w:pPr>
        <w:spacing w:after="0" w:line="1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ind w:right="-4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1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SPECIALIZED DISCLOSURE REPORT</w:t>
      </w:r>
    </w:p>
    <w:p>
      <w:pPr>
        <w:spacing w:after="0" w:line="200" w:lineRule="exact"/>
        <w:rPr>
          <w:sz w:val="24"/>
          <w:szCs w:val="24"/>
          <w:color w:val="auto"/>
        </w:rPr>
      </w:pPr>
    </w:p>
    <w:p>
      <w:pPr>
        <w:spacing w:after="0" w:line="27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CONMED CORPORATION</w:t>
      </w:r>
    </w:p>
    <w:p>
      <w:pPr>
        <w:spacing w:after="0" w:line="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02" w:lineRule="exact"/>
        <w:rPr>
          <w:sz w:val="24"/>
          <w:szCs w:val="24"/>
          <w:color w:val="auto"/>
        </w:rPr>
      </w:pPr>
    </w:p>
    <w:tbl>
      <w:tblPr>
        <w:tblLayout w:type="fixed"/>
        <w:tblInd w:w="122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232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8"/>
              </w:rPr>
              <w:t>Delaware</w:t>
            </w:r>
          </w:p>
        </w:tc>
        <w:tc>
          <w:tcPr>
            <w:tcW w:w="178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001-39218</w:t>
            </w:r>
          </w:p>
        </w:tc>
        <w:tc>
          <w:tcPr>
            <w:tcW w:w="1200" w:type="dxa"/>
            <w:vAlign w:val="bottom"/>
          </w:tcPr>
          <w:p>
            <w:pPr>
              <w:spacing w:after="0"/>
              <w:rPr>
                <w:sz w:val="17"/>
                <w:szCs w:val="17"/>
                <w:color w:val="auto"/>
              </w:rPr>
            </w:pPr>
          </w:p>
        </w:tc>
        <w:tc>
          <w:tcPr>
            <w:tcW w:w="246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16-0977505</w:t>
            </w:r>
          </w:p>
        </w:tc>
      </w:tr>
      <w:tr>
        <w:trPr>
          <w:trHeight w:val="20"/>
        </w:trPr>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30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(Commission</w:t>
            </w:r>
          </w:p>
        </w:tc>
        <w:tc>
          <w:tcPr>
            <w:tcW w:w="246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57"/>
        </w:trPr>
        <w:tc>
          <w:tcPr>
            <w:tcW w:w="30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9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File Number)</w:t>
            </w:r>
          </w:p>
        </w:tc>
        <w:tc>
          <w:tcPr>
            <w:tcW w:w="246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33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11311 Concept Blvd. Largo FL 33773-4908</w:t>
      </w:r>
    </w:p>
    <w:p>
      <w:pPr>
        <w:spacing w:after="0" w:line="1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1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u w:val="single" w:color="auto"/>
          <w:color w:val="auto"/>
        </w:rPr>
        <w:t>Patrick J. Beyer (404) 808-3641</w:t>
      </w:r>
    </w:p>
    <w:p>
      <w:pPr>
        <w:spacing w:after="0" w:line="1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1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43"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This Specialized Disclosure Report on Form SD of CONMED Corporation is for the period from January 1, 2025 to December 31, 2025. Unless the context indicates otherwise, “CONMED,” “we,” “us,” and “our” refer to CONMED Corporation and its consolidated subsidiaries.</w:t>
      </w:r>
    </w:p>
    <w:p>
      <w:pPr>
        <w:spacing w:after="0" w:line="189" w:lineRule="exact"/>
        <w:rPr>
          <w:sz w:val="20"/>
          <w:szCs w:val="20"/>
          <w:color w:val="auto"/>
        </w:rPr>
      </w:pPr>
    </w:p>
    <w:p>
      <w:pPr>
        <w:jc w:val="both"/>
        <w:ind w:firstLine="495"/>
        <w:spacing w:after="0" w:line="238" w:lineRule="auto"/>
        <w:rPr>
          <w:sz w:val="20"/>
          <w:szCs w:val="20"/>
          <w:color w:val="auto"/>
        </w:rPr>
      </w:pPr>
      <w:r>
        <w:rPr>
          <w:rFonts w:ascii="Times New Roman" w:cs="Times New Roman" w:eastAsia="Times New Roman" w:hAnsi="Times New Roman"/>
          <w:sz w:val="18"/>
          <w:szCs w:val="18"/>
          <w:color w:val="auto"/>
        </w:rPr>
        <w:t>During 2025, certain of our operations manufactured, or contracted to manufacture, products for which 3TGs (as defined below) are necessary to their functionality or production (“Covered Products”). The term “3TGs” refers to columbite-tantalite (coltan), cassiterite, gold, wolframite or their derivatives, which are limited to tantalum, tin and tungsten. Accordingly, we have conducted a country of origin inquiry (“RCOI”) that was reasonably designed to determine whether any of the 3TGs in the Covered Products originated in the Democratic Republic of the Congo or an adjoining country (the Republic of the Congo, the Central African Republic, South Sudan, Uganda, Rwanda, Burundi, Tanzania, Zambia or Angola); or were from recycled or scrap sources.</w:t>
      </w:r>
    </w:p>
    <w:p>
      <w:pPr>
        <w:spacing w:after="0" w:line="213" w:lineRule="exact"/>
        <w:rPr>
          <w:sz w:val="20"/>
          <w:szCs w:val="20"/>
          <w:color w:val="auto"/>
        </w:rPr>
      </w:pPr>
    </w:p>
    <w:p>
      <w:pPr>
        <w:jc w:val="both"/>
        <w:ind w:firstLine="495"/>
        <w:spacing w:after="0" w:line="250" w:lineRule="auto"/>
        <w:rPr>
          <w:sz w:val="20"/>
          <w:szCs w:val="20"/>
          <w:color w:val="auto"/>
        </w:rPr>
      </w:pPr>
      <w:r>
        <w:rPr>
          <w:rFonts w:ascii="Times New Roman" w:cs="Times New Roman" w:eastAsia="Times New Roman" w:hAnsi="Times New Roman"/>
          <w:sz w:val="18"/>
          <w:szCs w:val="18"/>
          <w:color w:val="auto"/>
        </w:rPr>
        <w:t xml:space="preserve">Information about our RCOI, as well as the steps we have taken to exercise due diligence on the source and chain of custody of any 3TGs in the Covered Products, is included in our Conflict Minerals Report, which is included as an exhibit to this Form SD. The Specialized Disclosure Form (“Form SD”) and the associated Conflict Minerals Report is searchable under the SEC Filing section at the following link: </w:t>
      </w:r>
      <w:r>
        <w:rPr>
          <w:rFonts w:ascii="Times New Roman" w:cs="Times New Roman" w:eastAsia="Times New Roman" w:hAnsi="Times New Roman"/>
          <w:sz w:val="18"/>
          <w:szCs w:val="18"/>
          <w:u w:val="single" w:color="auto"/>
          <w:color w:val="auto"/>
        </w:rPr>
        <w:t>www.conmed.com/en/investor-relations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copy of CONMED’s Conflict Minerals Report is filed as Exhibit 1.01 to this Form SD.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responsive to Item 1.01 and 1.02 of this Form SD.</w:t>
      </w:r>
    </w:p>
    <w:p>
      <w:pPr>
        <w:sectPr>
          <w:pgSz w:w="11900" w:h="16838" w:orient="portrait"/>
          <w:cols w:equalWidth="0" w:num="1">
            <w:col w:w="11240"/>
          </w:cols>
          <w:pgMar w:left="320" w:top="873"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pacing w:after="0" w:line="5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u w:val="single" w:color="auto"/>
          <w:color w:val="auto"/>
        </w:rPr>
        <w:t>By:  /s/ Patrick J. Beyer</w:t>
      </w:r>
    </w:p>
    <w:p>
      <w:pPr>
        <w:spacing w:after="0" w:line="50"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xml:space="preserve">  Patrick J. Beyer</w:t>
      </w:r>
    </w:p>
    <w:p>
      <w:pPr>
        <w:spacing w:after="0" w:line="5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xml:space="preserve">  President and Chief Executive Officer</w:t>
      </w:r>
    </w:p>
    <w:p>
      <w:pPr>
        <w:spacing w:after="0" w:line="1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Interim Principal Financial Officer</w:t>
      </w:r>
    </w:p>
    <w:p>
      <w:pPr>
        <w:sectPr>
          <w:pgSz w:w="11900" w:h="16838" w:orient="portrait"/>
          <w:cols w:equalWidth="0" w:num="1">
            <w:col w:w="10700"/>
          </w:cols>
          <w:pgMar w:left="320" w:top="1116"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54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Exhibit No.</w:t>
            </w:r>
          </w:p>
        </w:tc>
        <w:tc>
          <w:tcPr>
            <w:tcW w:w="726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9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8"/>
              </w:rPr>
              <w:t>Page Number</w:t>
            </w:r>
          </w:p>
        </w:tc>
      </w:tr>
      <w:tr>
        <w:trPr>
          <w:trHeight w:val="20"/>
        </w:trPr>
        <w:tc>
          <w:tcPr>
            <w:tcW w:w="8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Exhibit 1.01</w:t>
            </w:r>
          </w:p>
        </w:tc>
        <w:tc>
          <w:tcPr>
            <w:tcW w:w="10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Conflict Minerals Report as responsive to Item 1.01 and 1.02 of this Form.</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E-1</w:t>
            </w:r>
          </w:p>
        </w:tc>
      </w:tr>
      <w:tr>
        <w:trPr>
          <w:trHeight w:val="20"/>
        </w:trPr>
        <w:tc>
          <w:tcPr>
            <w:tcW w:w="8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ectPr>
          <w:pgSz w:w="11900" w:h="16838" w:orient="portrait"/>
          <w:cols w:equalWidth="0" w:num="1">
            <w:col w:w="10119"/>
          </w:cols>
          <w:pgMar w:left="340" w:top="111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CONMED Corporation</w:t>
      </w:r>
    </w:p>
    <w:p>
      <w:pPr>
        <w:spacing w:after="0" w:line="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30" w:lineRule="exact"/>
        <w:rPr>
          <w:sz w:val="20"/>
          <w:szCs w:val="20"/>
          <w:color w:val="auto"/>
        </w:rPr>
      </w:pPr>
    </w:p>
    <w:p>
      <w:pPr>
        <w:jc w:val="both"/>
        <w:ind w:firstLine="713"/>
        <w:spacing w:after="0" w:line="258" w:lineRule="auto"/>
        <w:rPr>
          <w:sz w:val="20"/>
          <w:szCs w:val="20"/>
          <w:color w:val="auto"/>
        </w:rPr>
      </w:pPr>
      <w:r>
        <w:rPr>
          <w:rFonts w:ascii="Times New Roman" w:cs="Times New Roman" w:eastAsia="Times New Roman" w:hAnsi="Times New Roman"/>
          <w:sz w:val="18"/>
          <w:szCs w:val="18"/>
          <w:i w:val="1"/>
          <w:iCs w:val="1"/>
          <w:color w:val="auto"/>
        </w:rPr>
        <w:t>We have made statements in this Conflict Minerals Report that may constitute forward-looking statements about our plans to take additional actions or to implement additional procedures with respect to our due diligence efforts to determine the origin of conflict minerals included in our products. There can be no assurance that these future events will occur as anticipated. Forward-looking statements speak only as of the date they were made, and we undertake no obligation to publicly update them. Our reporting obligations under the conflict minerals rules may change in the future and our ability to implement certain processes or obtain information from our suppliers may differ materially from those anticipated or implied in this report.</w:t>
      </w:r>
    </w:p>
    <w:p>
      <w:pPr>
        <w:spacing w:after="0" w:line="200" w:lineRule="exact"/>
        <w:rPr>
          <w:sz w:val="20"/>
          <w:szCs w:val="20"/>
          <w:color w:val="auto"/>
        </w:rPr>
      </w:pPr>
    </w:p>
    <w:p>
      <w:pPr>
        <w:spacing w:after="0" w:line="2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56" w:lineRule="exact"/>
        <w:rPr>
          <w:sz w:val="20"/>
          <w:szCs w:val="20"/>
          <w:color w:val="auto"/>
        </w:rPr>
      </w:pPr>
    </w:p>
    <w:p>
      <w:pPr>
        <w:jc w:val="both"/>
        <w:ind w:right="20" w:firstLine="713"/>
        <w:spacing w:after="0" w:line="282" w:lineRule="auto"/>
        <w:rPr>
          <w:sz w:val="20"/>
          <w:szCs w:val="20"/>
          <w:color w:val="auto"/>
        </w:rPr>
      </w:pPr>
      <w:r>
        <w:rPr>
          <w:rFonts w:ascii="Times New Roman" w:cs="Times New Roman" w:eastAsia="Times New Roman" w:hAnsi="Times New Roman"/>
          <w:sz w:val="18"/>
          <w:szCs w:val="18"/>
          <w:color w:val="auto"/>
        </w:rPr>
        <w:t>CONMED Corporation (“CONMED”, the “Company”, “we”, “our” or “us”) is filing this Conflict Minerals Report (“CMR”) pursuant to Rule 13p-1 under the Securities Exchange Act of 1934, as amended, for the year ended December 31, 2025.</w:t>
      </w:r>
    </w:p>
    <w:p>
      <w:pPr>
        <w:spacing w:after="0" w:line="189"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18"/>
          <w:szCs w:val="18"/>
          <w:color w:val="auto"/>
        </w:rPr>
        <w:t>This Conflict Minerals Report describes our reasonable country of origin inquiry (“RCOI”), the results thereof, and the design of our due diligence measures to determine whether 3TGs in products that CONMED manufactures, or contracts to manufacture, originated in the Democratic Republic of the Congo (“DRC”) or an adjoining country (the “Covered Countries”). The Covered Countries include Angola, Burundi, Central African Republic, the Republic of the Congo, Rwanda, South Sudan, Tanzania, Uganda, and Zambia. The term “Conflict Minerals” is defined as columbite-tantalite (coltan), cassiterite, gold, wolframite, or their derivatives, which are limited to tantalum, tin, and tungsten. For purposes of this CMR, tin, tungsten, tantalum and gold will collectively be referred to as the 3TGs. This report also provides an account of how these due diligence measures were implemented in 2025.</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This report is available on our website at </w:t>
      </w:r>
      <w:r>
        <w:rPr>
          <w:rFonts w:ascii="Times New Roman" w:cs="Times New Roman" w:eastAsia="Times New Roman" w:hAnsi="Times New Roman"/>
          <w:sz w:val="18"/>
          <w:szCs w:val="18"/>
          <w:u w:val="single" w:color="auto"/>
          <w:color w:val="auto"/>
        </w:rPr>
        <w:t>www.conmed.com/en/investor-relations</w:t>
      </w:r>
      <w:r>
        <w:rPr>
          <w:rFonts w:ascii="Times New Roman" w:cs="Times New Roman" w:eastAsia="Times New Roman" w:hAnsi="Times New Roman"/>
          <w:sz w:val="18"/>
          <w:szCs w:val="18"/>
          <w:color w:val="auto"/>
        </w:rPr>
        <w:t xml:space="preserve"> under Financials and then SEC Filings.</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2. Company Overview</w:t>
      </w:r>
    </w:p>
    <w:p>
      <w:pPr>
        <w:spacing w:after="0" w:line="256" w:lineRule="exact"/>
        <w:rPr>
          <w:sz w:val="20"/>
          <w:szCs w:val="20"/>
          <w:color w:val="auto"/>
        </w:rPr>
      </w:pPr>
    </w:p>
    <w:p>
      <w:pPr>
        <w:jc w:val="both"/>
        <w:ind w:right="20" w:firstLine="729"/>
        <w:spacing w:after="0" w:line="282" w:lineRule="auto"/>
        <w:rPr>
          <w:sz w:val="20"/>
          <w:szCs w:val="20"/>
          <w:color w:val="auto"/>
        </w:rPr>
      </w:pPr>
      <w:r>
        <w:rPr>
          <w:rFonts w:ascii="Times New Roman" w:cs="Times New Roman" w:eastAsia="Times New Roman" w:hAnsi="Times New Roman"/>
          <w:sz w:val="18"/>
          <w:szCs w:val="18"/>
          <w:color w:val="auto"/>
        </w:rPr>
        <w:t>CONMED is a medical technology company that provides devices and equipment for surgical procedures. The Company’s products are used by surgeons and other healthcare professionals in a variety of specialties including orthopedics, general surgery, gynecology, and thoracic surgery.</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product lines consist of orthopedic surgery and general surgery. Orthopedic surgery consists of sports medicine and lower extremities instrumentation and implants, small bone, large bone, and specialty powered surgical instruments as well as imaging systems for use in minimally invasive surgical procedures and fees related to the sales representation, promotion, and marketing of sports medicine allograft tissue. General surgery consists of a complete line of endo-mechanical instrumentation for minimally invasive laparoscopic procedures, clinical insufflation, smoke evacuation devices, a line of cardiac monitoring products as well as electrosurgical generators and related instruments. 3TGs are in a significant portion of CONMED products due to electronics being a vital component to many of our product offerings. All four 3TGs are found within various electrical components that make up CONMED products, such as capacitors, rectifiers, relays, and electrical connectors.</w:t>
      </w:r>
    </w:p>
    <w:p>
      <w:pPr>
        <w:spacing w:after="0" w:line="2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Conflict Minerals Policy</w:t>
      </w:r>
    </w:p>
    <w:p>
      <w:pPr>
        <w:spacing w:after="0" w:line="254" w:lineRule="exact"/>
        <w:rPr>
          <w:sz w:val="20"/>
          <w:szCs w:val="20"/>
          <w:color w:val="auto"/>
        </w:rPr>
      </w:pPr>
    </w:p>
    <w:p>
      <w:pPr>
        <w:jc w:val="both"/>
        <w:ind w:firstLine="713"/>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actively engaged with our customers and suppliers for several years with respect to the use of conflict minerals. Our actions are a result of the Company’s responsible and inclusive culture and longstanding leadership in corporate responsibility. In addition to the measures described above, we have adopted a conflict minerals policy. This policy is available on our website at </w:t>
      </w:r>
      <w:r>
        <w:rPr>
          <w:rFonts w:ascii="Times New Roman" w:cs="Times New Roman" w:eastAsia="Times New Roman" w:hAnsi="Times New Roman"/>
          <w:sz w:val="18"/>
          <w:szCs w:val="18"/>
          <w:u w:val="single" w:color="auto"/>
          <w:color w:val="auto"/>
        </w:rPr>
        <w:t>www.conmed.com/en/corporate-footer/policies</w:t>
      </w:r>
      <w:r>
        <w:rPr>
          <w:rFonts w:ascii="Times New Roman" w:cs="Times New Roman" w:eastAsia="Times New Roman" w:hAnsi="Times New Roman"/>
          <w:sz w:val="18"/>
          <w:szCs w:val="18"/>
          <w:color w:val="auto"/>
        </w:rPr>
        <w:t xml:space="preserve"> in the Ethics and Compliance Policies section.</w:t>
      </w:r>
    </w:p>
    <w:p>
      <w:pPr>
        <w:sectPr>
          <w:pgSz w:w="11900" w:h="16838" w:orient="portrait"/>
          <w:cols w:equalWidth="0" w:num="1">
            <w:col w:w="11240"/>
          </w:cols>
          <w:pgMar w:left="320" w:top="873" w:right="339" w:bottom="1440" w:gutter="0" w:footer="0" w:header="0"/>
        </w:sectPr>
      </w:pPr>
    </w:p>
    <w:bookmarkStart w:id="5" w:name="page6"/>
    <w:bookmarkEnd w:id="5"/>
    <w:p>
      <w:pPr>
        <w:ind w:left="720"/>
        <w:spacing w:after="0"/>
        <w:rPr>
          <w:sz w:val="20"/>
          <w:szCs w:val="20"/>
          <w:color w:val="auto"/>
        </w:rPr>
      </w:pPr>
      <w:r>
        <w:rPr>
          <w:rFonts w:ascii="Times New Roman" w:cs="Times New Roman" w:eastAsia="Times New Roman" w:hAnsi="Times New Roman"/>
          <w:sz w:val="18"/>
          <w:szCs w:val="18"/>
          <w:b w:val="1"/>
          <w:bCs w:val="1"/>
          <w:color w:val="auto"/>
        </w:rPr>
        <w:t>3. Reasonable Country of Origin Inquiry</w:t>
      </w:r>
    </w:p>
    <w:p>
      <w:pPr>
        <w:spacing w:after="0" w:line="256"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8"/>
          <w:szCs w:val="18"/>
          <w:color w:val="auto"/>
        </w:rPr>
        <w:t>Because conflict minerals are necessary to the functionality or production of products that we manufacture, we have conducted in good faith a reasonable country of origin inquiry regarding those conflict minerals. The RCOI is reasonably designed to determine whether any of the conflict minerals originated in the DRC, or the Covered Countries, or are from recycled or scrap sources.</w:t>
      </w:r>
    </w:p>
    <w:p>
      <w:pPr>
        <w:spacing w:after="0" w:line="203" w:lineRule="exact"/>
        <w:rPr>
          <w:sz w:val="20"/>
          <w:szCs w:val="20"/>
          <w:color w:val="auto"/>
        </w:rPr>
      </w:pPr>
    </w:p>
    <w:p>
      <w:pPr>
        <w:jc w:val="both"/>
        <w:ind w:firstLine="713"/>
        <w:spacing w:after="0" w:line="258" w:lineRule="auto"/>
        <w:rPr>
          <w:sz w:val="20"/>
          <w:szCs w:val="20"/>
          <w:color w:val="auto"/>
        </w:rPr>
      </w:pPr>
      <w:r>
        <w:rPr>
          <w:rFonts w:ascii="Times New Roman" w:cs="Times New Roman" w:eastAsia="Times New Roman" w:hAnsi="Times New Roman"/>
          <w:sz w:val="18"/>
          <w:szCs w:val="18"/>
          <w:color w:val="auto"/>
        </w:rPr>
        <w:t>Our RCOI employed a combination of measures to determine whether the 3TGs necessary for the functionality or production of CONMED products originated from the DRC or any of the Covered Countries. The Company’s primary means of determining country of origin of the necessary 3TGs was by conducting a supply chain survey with direct suppliers using the Responsible Business Alliance’s Conflict Minerals Reporting Template v6.5 (“CMRT”). This supply chain survey was implemented with the assistance of a third-party service provider, who is also assisting us with the development and implementation of additional steps that we are undertaking with suppliers regarding conflict minerals.</w:t>
      </w:r>
    </w:p>
    <w:p>
      <w:pPr>
        <w:spacing w:after="0" w:line="210"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18"/>
          <w:szCs w:val="18"/>
          <w:color w:val="auto"/>
        </w:rPr>
        <w:t>We began by identifying all first-tier suppliers that provided items used in CONMED’s finished products during calendar year 2025. This initial population included some suppliers that did not provide items containing tin, tantalum, tungsten, or gold (3TGs), and those suppliers were determined to be out of scope through the supplier survey process. Suppliers were also excluded from the in-scope population when any 3TGs in the items they supplied were determined not to be necessary to the functionality or production of those items, as contemplated by the SEC in its adopting release for the Part 240 13p-1 and confirmed by the Conflict Minerals Reporting Template (“CMRT”) responses. Consistent with SEC guidance on ‘contract to manufacture,’ suppliers were also separately evaluated and, where appropriate, excluded from the in-scope population when CONMED lacked influence over the manufacturing of the product. After completing this scoping and validation process, CONMED determined that 82 suppliers comprised the final in-scope supplier population for calendar year 2025.</w:t>
      </w:r>
    </w:p>
    <w:p>
      <w:pPr>
        <w:spacing w:after="0" w:line="219"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The CMRT was developed to facilitate disclosure and communication of information regarding smelters that provide 3TG materials to a company’s supply chain. It includes questions regarding a supplier’s “conflict-free” policy, engagement with its direct suppliers, and a listing of the smelters used in products provided to CONMED. In addition, the template contains questions about the origin of 3TGs included in the supplier’s products, as well as supplier due diligence. To ensure our suppliers understand our expectations regarding the sourcing of 3TGs, we and our third-party consultant have provided training to our suppliers through webinars, videos, and substantial one-on-one discussions.</w:t>
      </w:r>
    </w:p>
    <w:p>
      <w:pPr>
        <w:spacing w:after="0" w:line="210" w:lineRule="exact"/>
        <w:rPr>
          <w:sz w:val="20"/>
          <w:szCs w:val="20"/>
          <w:color w:val="auto"/>
        </w:rPr>
      </w:pPr>
    </w:p>
    <w:p>
      <w:pPr>
        <w:jc w:val="both"/>
        <w:ind w:right="20" w:firstLine="729"/>
        <w:spacing w:after="0" w:line="266" w:lineRule="auto"/>
        <w:rPr>
          <w:sz w:val="20"/>
          <w:szCs w:val="20"/>
          <w:color w:val="auto"/>
        </w:rPr>
      </w:pPr>
      <w:r>
        <w:rPr>
          <w:rFonts w:ascii="Times New Roman" w:cs="Times New Roman" w:eastAsia="Times New Roman" w:hAnsi="Times New Roman"/>
          <w:sz w:val="18"/>
          <w:szCs w:val="18"/>
          <w:color w:val="auto"/>
        </w:rPr>
        <w:t>This year’s program continues to include automated data validation on all submitted CMRTs. The goal of data validation is to increase the accuracy of submissions and identify any contradictory answers in the CMRT. The results of this data validation contribute to the program’s health assessment and are shared with the suppliers to ensure they understand areas that require clarification or improvement.</w:t>
      </w:r>
    </w:p>
    <w:p>
      <w:pPr>
        <w:spacing w:after="0" w:line="203"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All submitted forms are accepted and classified as valid or invalid so that data is still retained. Suppliers were contacted regarding invalid forms and were encouraged to resubmit a valid form. As of April 24, 2026, approximately 90% of the 82 CONMED suppliers contacted provided a response with 8 being non-responsive and 1 providing an incomplete submission. Non-responsive suppliers were contacted numerous times by both our third-party consultant and CONMED personnel. The majority of CMRTs provided by CONMED suppliers are at the company level and therefore cannot be definitively linked to any specific CONMED product.</w:t>
      </w:r>
    </w:p>
    <w:p>
      <w:pPr>
        <w:spacing w:after="0" w:line="210"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Based on the responses to our RCOI, CONMED is unable to determine that 3TGs necessary to the functionality or production of our products did not originate in the DRC or any of the Covered Countries. Accordingly, CONMED engaged in the due diligence measures on the source and chain of custody of those 3TGs, as described in the next section of this Conflict Minerals Report.</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4.0 Design of Due Diligence Measures</w:t>
      </w:r>
    </w:p>
    <w:p>
      <w:pPr>
        <w:spacing w:after="0" w:line="256"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8"/>
          <w:szCs w:val="18"/>
          <w:color w:val="auto"/>
        </w:rPr>
        <w:t>Our due diligence measures have been designed to conform, in all material respects, with the framework established in The Organisation for Economic Co-operation and Development (“OECD”) Due Diligence Guidance for Responsible Supply Chains of Minerals from Conflict-Affected and High-Risk Areas (“OECD Guidance”) and the related Supplements for gold, tin, tantalum and tungsten.</w:t>
      </w:r>
    </w:p>
    <w:p>
      <w:pPr>
        <w:sectPr>
          <w:pgSz w:w="11900" w:h="16838" w:orient="portrait"/>
          <w:cols w:equalWidth="0" w:num="1">
            <w:col w:w="11240"/>
          </w:cols>
          <w:pgMar w:left="320" w:top="887" w:right="339" w:bottom="1440" w:gutter="0" w:footer="0" w:header="0"/>
        </w:sectPr>
      </w:pPr>
    </w:p>
    <w:bookmarkStart w:id="6" w:name="page7"/>
    <w:bookmarkEnd w:id="6"/>
    <w:p>
      <w:pPr>
        <w:ind w:left="720"/>
        <w:spacing w:after="0"/>
        <w:rPr>
          <w:sz w:val="20"/>
          <w:szCs w:val="20"/>
          <w:color w:val="auto"/>
        </w:rPr>
      </w:pPr>
      <w:r>
        <w:rPr>
          <w:rFonts w:ascii="Times New Roman" w:cs="Times New Roman" w:eastAsia="Times New Roman" w:hAnsi="Times New Roman"/>
          <w:sz w:val="18"/>
          <w:szCs w:val="18"/>
          <w:b w:val="1"/>
          <w:bCs w:val="1"/>
          <w:color w:val="auto"/>
        </w:rPr>
        <w:t>4.1 Establish Strong Company Management Systems</w:t>
      </w:r>
    </w:p>
    <w:p>
      <w:pPr>
        <w:spacing w:after="0" w:line="243" w:lineRule="exact"/>
        <w:rPr>
          <w:sz w:val="20"/>
          <w:szCs w:val="20"/>
          <w:color w:val="auto"/>
        </w:rPr>
      </w:pPr>
    </w:p>
    <w:p>
      <w:pPr>
        <w:ind w:right="420" w:firstLine="713"/>
        <w:spacing w:after="0" w:line="266" w:lineRule="auto"/>
        <w:rPr>
          <w:sz w:val="20"/>
          <w:szCs w:val="20"/>
          <w:color w:val="auto"/>
        </w:rPr>
      </w:pPr>
      <w:r>
        <w:rPr>
          <w:rFonts w:ascii="Times New Roman" w:cs="Times New Roman" w:eastAsia="Times New Roman" w:hAnsi="Times New Roman"/>
          <w:sz w:val="18"/>
          <w:szCs w:val="18"/>
          <w:color w:val="auto"/>
        </w:rPr>
        <w:t>As described above, CONMED has adopted a conflict minerals policy, which is located in the Ethics and Compliance Policies section of the CONMED Corporation website (</w:t>
      </w:r>
      <w:r>
        <w:rPr>
          <w:rFonts w:ascii="Times New Roman" w:cs="Times New Roman" w:eastAsia="Times New Roman" w:hAnsi="Times New Roman"/>
          <w:sz w:val="18"/>
          <w:szCs w:val="18"/>
          <w:u w:val="single" w:color="auto"/>
          <w:color w:val="auto"/>
        </w:rPr>
        <w:t>www.conmed.com/en/corporate-footer/policies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Internal Team</w:t>
      </w:r>
    </w:p>
    <w:p>
      <w:pPr>
        <w:spacing w:after="0" w:line="254" w:lineRule="exact"/>
        <w:rPr>
          <w:sz w:val="20"/>
          <w:szCs w:val="20"/>
          <w:color w:val="auto"/>
        </w:rPr>
      </w:pPr>
    </w:p>
    <w:p>
      <w:pPr>
        <w:jc w:val="both"/>
        <w:ind w:firstLine="713"/>
        <w:spacing w:after="0" w:line="258" w:lineRule="auto"/>
        <w:rPr>
          <w:sz w:val="20"/>
          <w:szCs w:val="20"/>
          <w:color w:val="auto"/>
        </w:rPr>
      </w:pPr>
      <w:r>
        <w:rPr>
          <w:rFonts w:ascii="Times New Roman" w:cs="Times New Roman" w:eastAsia="Times New Roman" w:hAnsi="Times New Roman"/>
          <w:sz w:val="18"/>
          <w:szCs w:val="18"/>
          <w:color w:val="auto"/>
        </w:rPr>
        <w:t>CONMED has established a management system regarding the sourcing of 3TGs. Our management system includes both internal and external resources led by a project manager and subject matter expert who is responsible for guiding our conflict minerals strategy. Senior management is briefed about the results of our due diligence efforts on a regular basis. We also use a third-party service provider to assist us with evaluating supply chain information regarding 3TGs and in the development and implementation of additional due diligence steps that we will undertake with suppliers regarding conflict minerals.</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Control Systems</w:t>
      </w:r>
    </w:p>
    <w:p>
      <w:pPr>
        <w:spacing w:after="0" w:line="254"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8"/>
          <w:szCs w:val="18"/>
          <w:color w:val="auto"/>
        </w:rPr>
        <w:t>As we do not typically have a direct relationship with 3TG smelters and refiners, and due to our position in the supply chain and limited insight into deeper levels of the supply chain, we are engaged and actively cooperate with other major manufacturers in the medical device industry regarding 3TG sourcing matters.</w:t>
      </w:r>
    </w:p>
    <w:p>
      <w:pPr>
        <w:spacing w:after="0" w:line="203"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8"/>
          <w:szCs w:val="18"/>
          <w:color w:val="auto"/>
        </w:rPr>
        <w:t>With regards to our suppliers, controls include, but are not limited to, our Code of Conduct, which outlines expected behaviors for all CONMED employees; our supplier approval and review process, as well as contractual protections, as described further below; and business relationships with our suppliers.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Supply Chain Due Diligence</w:t>
      </w:r>
    </w:p>
    <w:p>
      <w:pPr>
        <w:spacing w:after="0" w:line="241" w:lineRule="exact"/>
        <w:rPr>
          <w:sz w:val="20"/>
          <w:szCs w:val="20"/>
          <w:color w:val="auto"/>
        </w:rPr>
      </w:pPr>
    </w:p>
    <w:p>
      <w:pPr>
        <w:jc w:val="both"/>
        <w:ind w:firstLine="713"/>
        <w:spacing w:after="0" w:line="236" w:lineRule="auto"/>
        <w:rPr>
          <w:sz w:val="20"/>
          <w:szCs w:val="20"/>
          <w:color w:val="auto"/>
        </w:rPr>
      </w:pPr>
      <w:r>
        <w:rPr>
          <w:rFonts w:ascii="Times New Roman" w:cs="Times New Roman" w:eastAsia="Times New Roman" w:hAnsi="Times New Roman"/>
          <w:sz w:val="18"/>
          <w:szCs w:val="18"/>
          <w:color w:val="auto"/>
        </w:rPr>
        <w:t>We obtain various component products from suppliers that we use in manufacturing our products. Due to our size, the complexity of our products, the depth, breadth, and constant evolution of our supply chain, among other reasons, it is difficult for us to identify actors upstream from our direct suppliers. As part of our supply chain procedures, we require in our supply contracts that our direct suppliers provide information on the origin of the 3TGs contained in components and materials supplied to us - including sources of 3TGs that are supplied to them from all applicable lower-tier suppliers. Contracts with our direct suppliers are frequently multi-year-term contracts. In those cases, although we generally are unable to unilaterally impose new contract terms and flow-down requirements prior to the expiration of the contract, we work individually with key selected suppliers to ensure they provide 3TG sourcing information for all current contracts, and in all new contracts in the future. We have approached existing suppliers to adopt amendments regarding 3TGs, and as we renew contracts or enter into new ones, we add a clause that requires all applicable suppliers to provide information about the source of 3TGs and information about the smelters from which 3TGs are sourced. All purchase orders for direct materials used in the composition of our products require that suppliers provide CONMED with Conflict Minerals information on the current Conflict Minerals Reporting Template, or CMRT (as described further below), and that components must be free of Conflict Minerals.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Supplier Engagement</w:t>
      </w:r>
    </w:p>
    <w:p>
      <w:pPr>
        <w:spacing w:after="0" w:line="241"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8"/>
          <w:szCs w:val="18"/>
          <w:color w:val="auto"/>
        </w:rPr>
        <w:t>With respect to the OECD requirement to strengthen engagement with suppliers, we use a Supplier Approval Process that evaluates our suppliers based on their quality systems and their readiness to provide CONMED all the required services and support documents.</w:t>
      </w:r>
    </w:p>
    <w:p>
      <w:pPr>
        <w:spacing w:after="0" w:line="203"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8"/>
          <w:szCs w:val="18"/>
          <w:color w:val="auto"/>
        </w:rPr>
        <w:t>We put a strong emphasis on supplier education and training. To accomplish this, we utilized our third-party consultant’s learning management system and provided all in-scope suppliers access to conflict minerals training courses. All suppliers are encouraged to complete all modules within these courses.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Grievance Mechanism</w:t>
      </w:r>
    </w:p>
    <w:p>
      <w:pPr>
        <w:spacing w:after="0" w:line="241" w:lineRule="exact"/>
        <w:rPr>
          <w:sz w:val="20"/>
          <w:szCs w:val="20"/>
          <w:color w:val="auto"/>
        </w:rPr>
      </w:pPr>
    </w:p>
    <w:p>
      <w:pPr>
        <w:jc w:val="both"/>
        <w:ind w:right="20" w:firstLine="713"/>
        <w:spacing w:after="0" w:line="250" w:lineRule="auto"/>
        <w:rPr>
          <w:sz w:val="20"/>
          <w:szCs w:val="20"/>
          <w:color w:val="auto"/>
        </w:rPr>
      </w:pPr>
      <w:r>
        <w:rPr>
          <w:rFonts w:ascii="Times New Roman" w:cs="Times New Roman" w:eastAsia="Times New Roman" w:hAnsi="Times New Roman"/>
          <w:sz w:val="18"/>
          <w:szCs w:val="18"/>
          <w:color w:val="auto"/>
        </w:rPr>
        <w:t xml:space="preserve">Various communication channels exist to serve as grievance mechanisms for early-warning risk awareness. We have multiple longstanding grievance mechanisms whereby employees (internal) and suppliers (external) can report violations of CONMED’s policies. This includes, but is not limited to, our whistleblower hotline listed on our website at </w:t>
      </w:r>
      <w:r>
        <w:rPr>
          <w:rFonts w:ascii="Times New Roman" w:cs="Times New Roman" w:eastAsia="Times New Roman" w:hAnsi="Times New Roman"/>
          <w:sz w:val="18"/>
          <w:szCs w:val="18"/>
          <w:u w:val="single" w:color="auto"/>
          <w:color w:val="auto"/>
        </w:rPr>
        <w:t>www.conmed.com/en/corporate-footer/policies</w:t>
      </w:r>
      <w:r>
        <w:rPr>
          <w:rFonts w:ascii="Times New Roman" w:cs="Times New Roman" w:eastAsia="Times New Roman" w:hAnsi="Times New Roman"/>
          <w:sz w:val="18"/>
          <w:szCs w:val="18"/>
          <w:color w:val="auto"/>
        </w:rPr>
        <w:t xml:space="preserve"> in the Ethics and Compliance Policies section.</w:t>
      </w:r>
    </w:p>
    <w:p>
      <w:pPr>
        <w:sectPr>
          <w:pgSz w:w="11900" w:h="16838" w:orient="portrait"/>
          <w:cols w:equalWidth="0" w:num="1">
            <w:col w:w="11240"/>
          </w:cols>
          <w:pgMar w:left="320" w:top="887" w:right="339" w:bottom="1440" w:gutter="0" w:footer="0" w:header="0"/>
        </w:sectPr>
      </w:pPr>
    </w:p>
    <w:bookmarkStart w:id="7" w:name="page8"/>
    <w:bookmarkEnd w:id="7"/>
    <w:p>
      <w:pPr>
        <w:ind w:left="720"/>
        <w:spacing w:after="0"/>
        <w:rPr>
          <w:sz w:val="20"/>
          <w:szCs w:val="20"/>
          <w:color w:val="auto"/>
        </w:rPr>
      </w:pPr>
      <w:r>
        <w:rPr>
          <w:rFonts w:ascii="Times New Roman" w:cs="Times New Roman" w:eastAsia="Times New Roman" w:hAnsi="Times New Roman"/>
          <w:sz w:val="18"/>
          <w:szCs w:val="18"/>
          <w:i w:val="1"/>
          <w:iCs w:val="1"/>
          <w:color w:val="auto"/>
        </w:rPr>
        <w:t>Maintain Records</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have adopted a policy to retain relevant documentation, including the records of our due diligence process, for a minimum period of five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4.2 Risk Identification, Assessment and Response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OECD Guidelines, it is important to understand risk levels associated with conflict minerals in the supply chain. Smelters that are not certified as DRC-Conflict Free by third-party sources such as the Responsible Minerals Initiative (“RMI”) pose a significant risk.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 a smelter is not identified as Conflict Free by such sources, we assess them according to red flag indicators defined in the OECD Guidance. This rating is based on various factors, including geographic proximity to the DRC and covered countries; known mineral source country of origin; Responsible Minerals Assurance Process (RMAP) audit status; credible evidence of unethical or conflict sourcing and Peer Assessments conducted by credible third-party sources.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Additionally, suppliers are evaluated on program strength (further assisting in identifying risk in the supply chain). Evaluating and tracking the strength of the program can assist in making key risk mitigation decisions as the program progresses. The criteria used to evaluate the strength of the supplier’s program are:</w:t>
      </w:r>
    </w:p>
    <w:p>
      <w:pPr>
        <w:spacing w:after="0" w:line="20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you established a conflict minerals sourcing policy?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you implemented due diligence measures for conflict-free sourcing?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you review due diligence information received from your suppliers against your company’s expectations?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your review process include corrective action management?</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suppliers answer yes, they are deemed to have a strong program. When suppliers do not meet those criteria, they are deemed to have a weak program.</w:t>
      </w:r>
    </w:p>
    <w:p>
      <w:pPr>
        <w:spacing w:after="0" w:line="189"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8"/>
          <w:szCs w:val="18"/>
          <w:color w:val="auto"/>
        </w:rPr>
        <w:t>As part of our risk management plan and to ensure suppliers understand our expectations, we have, through a third party, provided video and written training on conflict minerals and the CMRT. This includes instructions on completing the form, and one-on-one email and phone discussions with supplier personnel.</w:t>
      </w:r>
    </w:p>
    <w:p>
      <w:pPr>
        <w:spacing w:after="0" w:line="203"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8"/>
          <w:szCs w:val="18"/>
          <w:color w:val="auto"/>
        </w:rPr>
        <w:t>As described in our Conflict Minerals Policy, we engage any of our suppliers whom we have reason to believe are supplying us with 3TGs from sources that may support conflict in the DRC or any of the Covered Countries to establish an alternative source of 3TGs that does not support such conflict, as provided in the OECD guidance. If we are not satisfied with the results, we will then take steps to terminate a contract and find replacement suppliers.</w:t>
      </w:r>
    </w:p>
    <w:p>
      <w:pPr>
        <w:spacing w:after="0" w:line="203" w:lineRule="exact"/>
        <w:rPr>
          <w:sz w:val="20"/>
          <w:szCs w:val="20"/>
          <w:color w:val="auto"/>
        </w:rPr>
      </w:pPr>
    </w:p>
    <w:p>
      <w:pPr>
        <w:jc w:val="both"/>
        <w:ind w:firstLine="713"/>
        <w:spacing w:after="0" w:line="282" w:lineRule="auto"/>
        <w:rPr>
          <w:sz w:val="20"/>
          <w:szCs w:val="20"/>
          <w:color w:val="auto"/>
        </w:rPr>
      </w:pPr>
      <w:r>
        <w:rPr>
          <w:rFonts w:ascii="Times New Roman" w:cs="Times New Roman" w:eastAsia="Times New Roman" w:hAnsi="Times New Roman"/>
          <w:sz w:val="18"/>
          <w:szCs w:val="18"/>
          <w:color w:val="auto"/>
        </w:rPr>
        <w:t>Additionally, in designing and implementing our strategy to respond to the supply chain risks that we identified, CONMED analyzed various industry approaches and consulted with other companies in our industry.</w:t>
      </w:r>
    </w:p>
    <w:p>
      <w:pPr>
        <w:spacing w:after="0" w:line="189" w:lineRule="exact"/>
        <w:rPr>
          <w:sz w:val="20"/>
          <w:szCs w:val="20"/>
          <w:color w:val="auto"/>
        </w:rPr>
      </w:pPr>
    </w:p>
    <w:p>
      <w:pPr>
        <w:jc w:val="both"/>
        <w:ind w:firstLine="713"/>
        <w:spacing w:after="0" w:line="255" w:lineRule="auto"/>
        <w:rPr>
          <w:sz w:val="20"/>
          <w:szCs w:val="20"/>
          <w:color w:val="auto"/>
        </w:rPr>
      </w:pPr>
      <w:r>
        <w:rPr>
          <w:rFonts w:ascii="Times New Roman" w:cs="Times New Roman" w:eastAsia="Times New Roman" w:hAnsi="Times New Roman"/>
          <w:sz w:val="18"/>
          <w:szCs w:val="18"/>
          <w:color w:val="auto"/>
        </w:rPr>
        <w:t>Tracing materials back to their mine of origin is a complex aspect of responsible sourcing in our supply chain. We have determined that seeking information about 3TG smelters and refiners in our supply chain represents the most reasonable effort we can make to determine the mines or locations of origin of the 3TGs in our supply chain. This was done by adopting the methodology outlined by the RMI’s joint industry programs and outreach initiatives and requiring our suppliers to conform to the same standards to meet the OECD Guidelines, and report to us using the CMRT. Through this joint industry effort, we made reasonable determination of the mines or locations of origin of the 3TGs in our supply chain. We also requested that all our suppliers support the initiative by following the sourcing initiative and working to align their declared sources with the “Known” and “Conflict Free” lists of sourced metals.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inquiries and investigations described above represent a reasonable effort to determine the mines or locations of origin of the 3TGs in our Covered Products. This includes: (1) seeking information about 3TG smelters and refiners in our supply chain by requesting that our suppliers complete the CMRT, (2) verifying those smelters and refiners with the expanding RMI lists, (3) conducting the due diligence review, and (4) obtaining additional documentation and verification, as applicable.</w:t>
      </w:r>
    </w:p>
    <w:p>
      <w:pPr>
        <w:sectPr>
          <w:pgSz w:w="11900" w:h="16838" w:orient="portrait"/>
          <w:cols w:equalWidth="0" w:num="1">
            <w:col w:w="11240"/>
          </w:cols>
          <w:pgMar w:left="320" w:top="889" w:right="339" w:bottom="1440" w:gutter="0" w:footer="0" w:header="0"/>
        </w:sectPr>
      </w:pPr>
    </w:p>
    <w:bookmarkStart w:id="8" w:name="page9"/>
    <w:bookmarkEnd w:id="8"/>
    <w:p>
      <w:pPr>
        <w:ind w:left="720"/>
        <w:spacing w:after="0"/>
        <w:rPr>
          <w:sz w:val="20"/>
          <w:szCs w:val="20"/>
          <w:color w:val="auto"/>
        </w:rPr>
      </w:pPr>
      <w:r>
        <w:rPr>
          <w:rFonts w:ascii="Times New Roman" w:cs="Times New Roman" w:eastAsia="Times New Roman" w:hAnsi="Times New Roman"/>
          <w:sz w:val="18"/>
          <w:szCs w:val="18"/>
          <w:b w:val="1"/>
          <w:bCs w:val="1"/>
          <w:color w:val="auto"/>
        </w:rPr>
        <w:t>4.3 Carry out Independent Third-Party Audit of Supply Chain Due Diligence at Identified Points in the Supply Chain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relies on third-party audits of smelters and refiners conducted as part of the Responsible Minerals Assurance Process (RMAP). The RMAP uses independent private-sector auditors, and audits the source, including the mines of origin, and the chain of custody of the conflict minerals used by smelters and refiners that agree to participate in the program. We do not typically have a direct relationship with 3TG smelters and refiners, and we do not perform or direct audits of these entities within our supply chain.</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4.4 Report Annually on Supply Chain Due Diligence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CONMED reports annually on supply chain due diligence by filing a Form SD and a Conflict Minerals Report with the SEC. CONMED’s Form SD and Conflict Minerals Report can be found on our website at </w:t>
      </w:r>
      <w:r>
        <w:rPr>
          <w:rFonts w:ascii="Times New Roman" w:cs="Times New Roman" w:eastAsia="Times New Roman" w:hAnsi="Times New Roman"/>
          <w:sz w:val="18"/>
          <w:szCs w:val="18"/>
          <w:u w:val="single" w:color="auto"/>
          <w:color w:val="auto"/>
        </w:rPr>
        <w:t>www.conmed.com/en/investor-relations</w:t>
      </w:r>
      <w:r>
        <w:rPr>
          <w:rFonts w:ascii="Times New Roman" w:cs="Times New Roman" w:eastAsia="Times New Roman" w:hAnsi="Times New Roman"/>
          <w:sz w:val="18"/>
          <w:szCs w:val="18"/>
          <w:color w:val="auto"/>
        </w:rPr>
        <w:t xml:space="preserve"> under Financials and then SEC Filings.</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5. Due Diligence Results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above, as part of our supply chain due diligence process, we identified suppliers likely to utilize 3TGs in the products that they provide to us. We utilized the CMRT to facilitate disclosure and communication of information regarding smelters that provide 3TGs used in products supplied to us by those suppliers for incorporation into our products.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quality of the responses that we received from surveyed suppliers also continue to be varied. Many responses provided by suppliers (via the CMRT) included the names of facilities listed by the suppliers as smelters or refiners. The CMRTs submitted by suppliers that do not list at least one smelter for each 3TG claimed on the CMRT are considered invalid and our third-party provider follows up on these, urging suppliers to resubmit with increased smelter information. There are still suppliers unable to provide the smelters or refiners used for materials supplied to us.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all responses that indicated a smelter, our third-party consultant compared the facilities listed to the list of smelters maintained by the Responsible Minerals Initiative. If a supplier indicated that the facility was certified as “Conflict-Free,” our third-party consultant confirmed that the name was listed by RMI as a “Conflict-Free” smelter. As of April 29, 2026, we have validated 333 legitimate smelters or refiners, and we are working to validate the additional smelter/refiner entries from the submitted CMRTs. Based on the smelter list provided by suppliers via the CMRTs and publicly available information, we have identified 207 smelters that are deemed “Responsible Minerals Assurance Process (RMAP) Conformant” - this indicates these smelters and refiners are conformant with the RMAP assessment protocols. There are 8 more smelters or refiners that are deemed “RMAP Active” - Smelters and refiners on the Active list have committed to undergo a RMAP audit. In addition, we have identified 39 smelters and refiners that are not conformant with the RMAP assessment protocols. The remaining 79 smelters listed have not yet been confirmed as Conflict-Free. Attachment A lists the smelters and refiners that the suppliers surveyed reported as being in their supply chains. We have not listed in Attachment A any smelters or refiners that we have not been able to validate. Attachment B includes an aggregated list of the countries of origin from which the reported facilities collectively source conflict minerals, based on information provided by suppliers and RMI.</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responses received either provided data at a company or subsidiary level and chose not to provide information at the component level, or did not specify the smelters or refiners used for components supplied to CONMED. Accordingly, we are unable to determine, in those cases, whether any of the 3TGs reported by the suppliers were contained in components or parts supplied to us, or to validate that any of the smelters or refiners identified are actually in our supply chain.</w:t>
      </w:r>
    </w:p>
    <w:p>
      <w:pPr>
        <w:spacing w:after="0" w:line="207"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8"/>
          <w:szCs w:val="18"/>
          <w:color w:val="auto"/>
        </w:rPr>
        <w:t>We expect our suppliers that we have reason to believe are supplying us with 3TGs from sources that may support conflict in the Covered Countries to establish an alternative source of 3TGs that does not support such conflict, as provided in the OECD guidance. During 2025, we have found no instances where it was necessary to terminate a contract or find a replacement supplier.</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6. Steps to Improve Future Due Diligence and Supply Chain Risk Mitigation</w:t>
      </w:r>
    </w:p>
    <w:p>
      <w:pPr>
        <w:spacing w:after="0" w:line="256" w:lineRule="exact"/>
        <w:rPr>
          <w:sz w:val="20"/>
          <w:szCs w:val="20"/>
          <w:color w:val="auto"/>
        </w:rPr>
      </w:pPr>
    </w:p>
    <w:p>
      <w:pPr>
        <w:jc w:val="both"/>
        <w:ind w:firstLine="713"/>
        <w:spacing w:after="0" w:line="282" w:lineRule="auto"/>
        <w:rPr>
          <w:sz w:val="20"/>
          <w:szCs w:val="20"/>
          <w:color w:val="auto"/>
        </w:rPr>
      </w:pPr>
      <w:r>
        <w:rPr>
          <w:rFonts w:ascii="Times New Roman" w:cs="Times New Roman" w:eastAsia="Times New Roman" w:hAnsi="Times New Roman"/>
          <w:sz w:val="18"/>
          <w:szCs w:val="18"/>
          <w:color w:val="auto"/>
        </w:rPr>
        <w:t>We are taking the following steps to improve our due diligence conducted to further mitigate any risk that the necessary 3TGs in our products could benefit armed groups in the DRC or Covered Countries:</w:t>
      </w:r>
    </w:p>
    <w:p>
      <w:pPr>
        <w:spacing w:after="0" w:line="189"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include a conflict minerals clause and expectations in CONMED’s supplier handbook.</w:t>
      </w:r>
    </w:p>
    <w:p>
      <w:pPr>
        <w:sectPr>
          <w:pgSz w:w="11900" w:h="16838" w:orient="portrait"/>
          <w:cols w:equalWidth="0" w:num="1">
            <w:col w:w="11240"/>
          </w:cols>
          <w:pgMar w:left="320" w:top="887" w:right="339" w:bottom="1440" w:gutter="0" w:footer="0" w:header="0"/>
        </w:sectPr>
      </w:pPr>
    </w:p>
    <w:bookmarkStart w:id="9" w:name="page10"/>
    <w:bookmarkEnd w:id="9"/>
    <w:p>
      <w:pPr>
        <w:ind w:left="1300" w:hanging="320"/>
        <w:spacing w:after="0" w:line="26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Continue to engage with suppliers and direct them to training resources as mentioned in Section 4.1, </w:t>
      </w:r>
      <w:r>
        <w:rPr>
          <w:rFonts w:ascii="Times New Roman" w:cs="Times New Roman" w:eastAsia="Times New Roman" w:hAnsi="Times New Roman"/>
          <w:sz w:val="18"/>
          <w:szCs w:val="18"/>
          <w:i w:val="1"/>
          <w:iCs w:val="1"/>
          <w:color w:val="auto"/>
        </w:rPr>
        <w:t>Supplier Engagement</w:t>
      </w:r>
      <w:r>
        <w:rPr>
          <w:rFonts w:ascii="Times New Roman" w:cs="Times New Roman" w:eastAsia="Times New Roman" w:hAnsi="Times New Roman"/>
          <w:sz w:val="18"/>
          <w:szCs w:val="18"/>
          <w:color w:val="auto"/>
        </w:rPr>
        <w:t>, to attempt to increase the response rate and improve the content of the supplier survey responses.</w:t>
      </w:r>
    </w:p>
    <w:p>
      <w:pPr>
        <w:ind w:left="1940" w:hanging="312"/>
        <w:spacing w:after="0"/>
        <w:tabs>
          <w:tab w:leader="none" w:pos="19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suppliers that were non-responsive will be further contacted to encourage reply.</w:t>
      </w:r>
    </w:p>
    <w:p>
      <w:pPr>
        <w:spacing w:after="0" w:line="9" w:lineRule="exact"/>
        <w:rPr>
          <w:rFonts w:ascii="Times New Roman" w:cs="Times New Roman" w:eastAsia="Times New Roman" w:hAnsi="Times New Roman"/>
          <w:sz w:val="18"/>
          <w:szCs w:val="18"/>
          <w:color w:val="auto"/>
        </w:rPr>
      </w:pPr>
    </w:p>
    <w:p>
      <w:pPr>
        <w:ind w:left="1960" w:hanging="332"/>
        <w:spacing w:after="0" w:line="250" w:lineRule="auto"/>
        <w:tabs>
          <w:tab w:leader="none" w:pos="1955"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suppliers that did not know the origin of the 3TGs in products will be further encouraged to examine their supply chain and enact due diligence measures as per the OECD Due Diligence Guidelines.</w:t>
      </w:r>
    </w:p>
    <w:p>
      <w:pPr>
        <w:ind w:left="1300" w:hanging="320"/>
        <w:spacing w:after="0" w:line="250" w:lineRule="auto"/>
        <w:tabs>
          <w:tab w:leader="none" w:pos="129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any of our suppliers found to be supplying us with 3TGs from sources that support conflict in the DRC or any of the Covered Countries to establish an alternative source of 3TGs that do not support such conflict.</w:t>
      </w:r>
    </w:p>
    <w:p>
      <w:pPr>
        <w:jc w:val="both"/>
        <w:ind w:left="1300" w:hanging="320"/>
        <w:spacing w:after="0" w:line="25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industry best practices and continue to work with a third-party service provider to enhance our due diligence and supply chain management process, as appropriate. This includes requesting Conflict-Free sourcing by our suppliers as further described in our Conflict Mineral Policy and in the contractual provisions described above in our Supply Chain section under Management Systems.</w:t>
      </w:r>
    </w:p>
    <w:p>
      <w:pPr>
        <w:spacing w:after="0" w:line="1"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29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replacing suppliers that remain non-responsive, or that are unable to enact due diligence measures as per the OECD Due Diligence Guidelines.</w:t>
      </w: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suppliers to move to the latest CMRT where new smelter IDs are constantly being added.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use of smelter identification numbers. Supplier responses will not be considered complete without identification numbers.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will also be requested to inform CONMED of the correlation between these smelters and the products and parts they supply to</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CONMED.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CONMED, through our compliance partner, has reached out to the 39 non-conformant smelters.</w:t>
      </w:r>
    </w:p>
    <w:p>
      <w:pPr>
        <w:spacing w:after="0" w:line="9" w:lineRule="exact"/>
        <w:rPr>
          <w:rFonts w:ascii="Times New Roman" w:cs="Times New Roman" w:eastAsia="Times New Roman" w:hAnsi="Times New Roman"/>
          <w:sz w:val="18"/>
          <w:szCs w:val="18"/>
          <w:color w:val="auto"/>
        </w:rPr>
      </w:pPr>
    </w:p>
    <w:p>
      <w:pPr>
        <w:ind w:left="1300" w:right="20" w:hanging="320"/>
        <w:spacing w:after="0" w:line="260" w:lineRule="auto"/>
        <w:tabs>
          <w:tab w:leader="none" w:pos="128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79 smelters not enrolled in the RMAP audits; however, 2 are currently in communication with our compliance partner who is providing guidance.</w:t>
      </w:r>
    </w:p>
    <w:p>
      <w:pPr>
        <w:spacing w:after="0" w:line="204" w:lineRule="exact"/>
        <w:rPr>
          <w:rFonts w:ascii="Times New Roman" w:cs="Times New Roman" w:eastAsia="Times New Roman" w:hAnsi="Times New Roman"/>
          <w:sz w:val="18"/>
          <w:szCs w:val="18"/>
          <w:color w:val="auto"/>
        </w:rPr>
      </w:pPr>
    </w:p>
    <w:p>
      <w:pPr>
        <w:ind w:left="900" w:hanging="179"/>
        <w:spacing w:after="0"/>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Independent Audit</w:t>
      </w:r>
    </w:p>
    <w:p>
      <w:pPr>
        <w:spacing w:after="0" w:line="256" w:lineRule="exact"/>
        <w:rPr>
          <w:sz w:val="20"/>
          <w:szCs w:val="20"/>
          <w:color w:val="auto"/>
        </w:rPr>
      </w:pPr>
    </w:p>
    <w:p>
      <w:pPr>
        <w:ind w:firstLine="713"/>
        <w:spacing w:after="0" w:line="282" w:lineRule="auto"/>
        <w:rPr>
          <w:sz w:val="20"/>
          <w:szCs w:val="20"/>
          <w:color w:val="auto"/>
        </w:rPr>
      </w:pPr>
      <w:r>
        <w:rPr>
          <w:rFonts w:ascii="Times New Roman" w:cs="Times New Roman" w:eastAsia="Times New Roman" w:hAnsi="Times New Roman"/>
          <w:sz w:val="18"/>
          <w:szCs w:val="18"/>
          <w:color w:val="auto"/>
        </w:rPr>
        <w:t>In accordance with guidance issued by the SEC staff, we are not required to obtain an independent private sector audit of this Conflict Minerals Report for the year ended December 31, 2025.</w:t>
      </w:r>
    </w:p>
    <w:p>
      <w:pPr>
        <w:sectPr>
          <w:pgSz w:w="11900" w:h="16838" w:orient="portrait"/>
          <w:cols w:equalWidth="0" w:num="1">
            <w:col w:w="11240"/>
          </w:cols>
          <w:pgMar w:left="320" w:top="88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Attachment 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1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2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Smelter Facility Location(a)</w:t>
            </w: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2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RMAP Audit Status</w:t>
            </w:r>
          </w:p>
        </w:tc>
      </w:tr>
      <w:tr>
        <w:trPr>
          <w:trHeight w:val="22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L'Orfebre S.A.</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Andorra</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CID002762</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Australia</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CID002030</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ABC Refinery Pty Ltd.</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Australia</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CID002920</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Australia</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CID004754</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Austria</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CID002044</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176"/>
        </w:trPr>
        <w:tc>
          <w:tcPr>
            <w:tcW w:w="840" w:type="dxa"/>
            <w:vAlign w:val="bottom"/>
          </w:tcPr>
          <w:p>
            <w:pPr>
              <w:spacing w:after="0"/>
              <w:rPr>
                <w:sz w:val="15"/>
                <w:szCs w:val="15"/>
                <w:color w:val="auto"/>
              </w:rPr>
            </w:pPr>
          </w:p>
        </w:tc>
        <w:tc>
          <w:tcPr>
            <w:tcW w:w="4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Ogussa Osterreichische Gold- und Silber-</w:t>
            </w:r>
          </w:p>
        </w:tc>
        <w:tc>
          <w:tcPr>
            <w:tcW w:w="2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Scheideanstalt GmbH</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Austria</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CID002779</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Belgium</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CID001980</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Aurubis Beerse</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Belgium</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CID002773</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CID001337</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 Vinto</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CID000438</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Mineracao Taboca S.A.</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CID001173</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CID002036</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CID000058</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Estanho de Rondonia S.A.</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CID000448</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AMG Brasil</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CID001076</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Mineracao Taboca S.A.</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CID001175</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CID002468</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Melt Metais e Ligas S.A.</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CID002500</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Marsam Metals</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CID002606</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CID002706</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CID002707</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Super Ligas</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CID002756</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175"/>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Albasteel Industria e Comercio de Ligas Para</w:t>
            </w:r>
          </w:p>
        </w:tc>
        <w:tc>
          <w:tcPr>
            <w:tcW w:w="24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Fundicao Ltd.</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CID003427</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Cronimet Brasil Ltda</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CID003468</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175"/>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CRM Fundicao De Metais E Comercio De</w:t>
            </w:r>
          </w:p>
        </w:tc>
        <w:tc>
          <w:tcPr>
            <w:tcW w:w="24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Equipamentos Eletronicos Do Brasil Ltda</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CID003486</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Active</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CID003582</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Coimpa Industrial LTDA</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CID004010</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CID000185</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CID000924</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 Canadian Mint</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CID001534</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Chile</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CID002919</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CID000538</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CID000707</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CID000197</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CID000218</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CID000228</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CID000258</w:t>
            </w:r>
          </w:p>
        </w:tc>
        <w:tc>
          <w:tcPr>
            <w:tcW w:w="2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CID000291</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240"/>
          </w:cols>
          <w:pgMar w:left="320" w:top="112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CID000343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CID000377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CID000460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CID000555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CID000616</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CID000671</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CID000767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CID000769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76"/>
        </w:trPr>
        <w:tc>
          <w:tcPr>
            <w:tcW w:w="840" w:type="dxa"/>
            <w:vAlign w:val="bottom"/>
            <w:shd w:val="clear" w:color="auto" w:fill="CCEEFF"/>
          </w:tcPr>
          <w:p>
            <w:pPr>
              <w:spacing w:after="0"/>
              <w:rPr>
                <w:sz w:val="15"/>
                <w:szCs w:val="15"/>
                <w:color w:val="auto"/>
              </w:rPr>
            </w:pPr>
          </w:p>
        </w:tc>
        <w:tc>
          <w:tcPr>
            <w:tcW w:w="4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Hunan Guiyang yinxing Nonferrous Smelting Co.,</w:t>
            </w:r>
          </w:p>
        </w:tc>
        <w:tc>
          <w:tcPr>
            <w:tcW w:w="15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CID000773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76"/>
        </w:trPr>
        <w:tc>
          <w:tcPr>
            <w:tcW w:w="840" w:type="dxa"/>
            <w:vAlign w:val="bottom"/>
          </w:tcPr>
          <w:p>
            <w:pPr>
              <w:spacing w:after="0"/>
              <w:rPr>
                <w:sz w:val="15"/>
                <w:szCs w:val="15"/>
                <w:color w:val="auto"/>
              </w:rPr>
            </w:pPr>
          </w:p>
        </w:tc>
        <w:tc>
          <w:tcPr>
            <w:tcW w:w="4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Inner Mongolia Qiankun Gold and Silver Refinery</w:t>
            </w:r>
          </w:p>
        </w:tc>
        <w:tc>
          <w:tcPr>
            <w:tcW w:w="15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Co.,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CID000801</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Jiangxi Copper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CID000855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CID000914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Jiujiang Tanbre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CID000917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CID000942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Lingbao Gold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CID001056</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Tin Group Co.,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CID001070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CID001093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CID001147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CID001149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CID001231</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Active</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CID001277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CID001362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CID001522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6"/>
        </w:trPr>
        <w:tc>
          <w:tcPr>
            <w:tcW w:w="840" w:type="dxa"/>
            <w:vAlign w:val="bottom"/>
          </w:tcPr>
          <w:p>
            <w:pPr>
              <w:spacing w:after="0"/>
              <w:rPr>
                <w:sz w:val="15"/>
                <w:szCs w:val="15"/>
                <w:color w:val="auto"/>
              </w:rPr>
            </w:pPr>
          </w:p>
        </w:tc>
        <w:tc>
          <w:tcPr>
            <w:tcW w:w="4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Shandong Tiancheng Biological Gold Industrial Co.,</w:t>
            </w:r>
          </w:p>
        </w:tc>
        <w:tc>
          <w:tcPr>
            <w:tcW w:w="15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CID001619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CID001622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CID001736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CID001908</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CID001909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CID001916</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CID001947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Xiamen Tungsten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CID002082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CID002158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CID002180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5"/>
        </w:trPr>
        <w:tc>
          <w:tcPr>
            <w:tcW w:w="840" w:type="dxa"/>
            <w:vAlign w:val="bottom"/>
          </w:tcPr>
          <w:p>
            <w:pPr>
              <w:spacing w:after="0"/>
              <w:rPr>
                <w:sz w:val="15"/>
                <w:szCs w:val="15"/>
                <w:color w:val="auto"/>
              </w:rPr>
            </w:pPr>
          </w:p>
        </w:tc>
        <w:tc>
          <w:tcPr>
            <w:tcW w:w="4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Zhongyuan Gold Smelter of Zhongjin Gold</w:t>
            </w:r>
          </w:p>
        </w:tc>
        <w:tc>
          <w:tcPr>
            <w:tcW w:w="15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Corporation</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CID002224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CID002243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240"/>
          </w:cols>
          <w:pgMar w:left="320" w:top="93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Jiangxi Minmetals Gao'an Non-ferrous Metals Co.,</w:t>
            </w:r>
          </w:p>
        </w:tc>
        <w:tc>
          <w:tcPr>
            <w:tcW w:w="15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 Suspended - Not</w:t>
            </w: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CID002313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CID002315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CID002316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CID002317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CID002319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CID002320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CID002321</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CID002492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CID002494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CID002505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CID002506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CID002508</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CID002512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5"/>
        </w:trPr>
        <w:tc>
          <w:tcPr>
            <w:tcW w:w="840" w:type="dxa"/>
            <w:vAlign w:val="bottom"/>
            <w:shd w:val="clear" w:color="auto" w:fill="CCEEFF"/>
          </w:tcPr>
          <w:p>
            <w:pPr>
              <w:spacing w:after="0"/>
              <w:rPr>
                <w:sz w:val="15"/>
                <w:szCs w:val="15"/>
                <w:color w:val="auto"/>
              </w:rPr>
            </w:pPr>
          </w:p>
        </w:tc>
        <w:tc>
          <w:tcPr>
            <w:tcW w:w="4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Hunan Shizhuyuan Nonferrous Metals Co., Ltd.</w:t>
            </w:r>
          </w:p>
        </w:tc>
        <w:tc>
          <w:tcPr>
            <w:tcW w:w="15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Chenzhou Tungsten Products Branch</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CID002513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CID002525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CID002527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CID002551</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CID002641</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CID002750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CID002842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CID003116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CID003190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6"/>
        </w:trPr>
        <w:tc>
          <w:tcPr>
            <w:tcW w:w="840" w:type="dxa"/>
            <w:vAlign w:val="bottom"/>
          </w:tcPr>
          <w:p>
            <w:pPr>
              <w:spacing w:after="0"/>
              <w:rPr>
                <w:sz w:val="15"/>
                <w:szCs w:val="15"/>
                <w:color w:val="auto"/>
              </w:rPr>
            </w:pPr>
          </w:p>
        </w:tc>
        <w:tc>
          <w:tcPr>
            <w:tcW w:w="4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Dongguan CiEXPO Environmental Engineering Co.,</w:t>
            </w:r>
          </w:p>
        </w:tc>
        <w:tc>
          <w:tcPr>
            <w:tcW w:w="15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CID003356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CID003379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CID003397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CID003410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CID003417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CID003609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CID003662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Dongwu Gold Group</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CID003663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CID004430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6"/>
        </w:trPr>
        <w:tc>
          <w:tcPr>
            <w:tcW w:w="840" w:type="dxa"/>
            <w:vAlign w:val="bottom"/>
            <w:shd w:val="clear" w:color="auto" w:fill="CCEEFF"/>
          </w:tcPr>
          <w:p>
            <w:pPr>
              <w:spacing w:after="0"/>
              <w:rPr>
                <w:sz w:val="15"/>
                <w:szCs w:val="15"/>
                <w:color w:val="auto"/>
              </w:rPr>
            </w:pPr>
          </w:p>
        </w:tc>
        <w:tc>
          <w:tcPr>
            <w:tcW w:w="4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SHENZHEN JINJUNWEI RESOURCE</w:t>
            </w:r>
          </w:p>
        </w:tc>
        <w:tc>
          <w:tcPr>
            <w:tcW w:w="15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DEVELOPMENT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CID004435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75"/>
        </w:trPr>
        <w:tc>
          <w:tcPr>
            <w:tcW w:w="840" w:type="dxa"/>
            <w:vAlign w:val="bottom"/>
          </w:tcPr>
          <w:p>
            <w:pPr>
              <w:spacing w:after="0"/>
              <w:rPr>
                <w:sz w:val="15"/>
                <w:szCs w:val="15"/>
                <w:color w:val="auto"/>
              </w:rPr>
            </w:pPr>
          </w:p>
        </w:tc>
        <w:tc>
          <w:tcPr>
            <w:tcW w:w="4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Longnan Chuangyue Environmental Protection</w:t>
            </w:r>
          </w:p>
        </w:tc>
        <w:tc>
          <w:tcPr>
            <w:tcW w:w="15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Development Co., Ltd</w:t>
            </w: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CID004796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Jiangxi Sanshi Nonferrous Metals Co., Ltd</w:t>
            </w:r>
          </w:p>
        </w:tc>
        <w:tc>
          <w:tcPr>
            <w:tcW w:w="1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CID004813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Active</w:t>
            </w:r>
          </w:p>
        </w:tc>
      </w:tr>
    </w:tbl>
    <w:p>
      <w:pPr>
        <w:sectPr>
          <w:pgSz w:w="11900" w:h="16838" w:orient="portrait"/>
          <w:cols w:equalWidth="0" w:num="1">
            <w:col w:w="11240"/>
          </w:cols>
          <w:pgMar w:left="320" w:top="905"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Gold by Gold Colombia</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Colombia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CID003641</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5"/>
        </w:trPr>
        <w:tc>
          <w:tcPr>
            <w:tcW w:w="84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268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Congo, Democratic Republic Of</w:t>
            </w:r>
          </w:p>
        </w:tc>
        <w:tc>
          <w:tcPr>
            <w:tcW w:w="10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CID004065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SAFINA A.S.</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Czechia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CID002290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S.P.T. spol.s r.o.</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Czechia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CID005068</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NPM Silmet AS</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Estonia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CID001200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5D Production OU</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Estonia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CID003926</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SAAMP</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France</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CID002761</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WEEEREFINING</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France</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CID003615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Agosi AG</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CID000035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Aurubis AG</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CID000113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 Hafner GmbH + Co. KG</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CID000176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Heimerle + Meule GmbH</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CID000694</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CID000711</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H.C. Starck Tungsten GmbH</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CID002541</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CID002542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TANIOBIS GmbH</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CID002545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CID002550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WIELAND Edelmetalle GmbH</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CID002778</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CID002867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Gold Coast Refinery</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Ghana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CID003186</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CID001163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MMTC-PAMP India Pvt., Ltd.</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CID002509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CID002588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CID002852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Bangalore Refinery</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CID002863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JALAN &amp; Company</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CID002893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CGR Metalloys Pvt Ltd.</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CID003382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Sovereign Metals</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CID003383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CID003409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CID003461</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Kundan Care Products Ltd.</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CID003463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CID003487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CID003488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CID003489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CID003490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MD Overseas</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CID003548</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75"/>
        </w:trPr>
        <w:tc>
          <w:tcPr>
            <w:tcW w:w="840" w:type="dxa"/>
            <w:vAlign w:val="bottom"/>
          </w:tcPr>
          <w:p>
            <w:pPr>
              <w:spacing w:after="0"/>
              <w:rPr>
                <w:sz w:val="15"/>
                <w:szCs w:val="15"/>
                <w:color w:val="auto"/>
              </w:rPr>
            </w:pPr>
          </w:p>
        </w:tc>
        <w:tc>
          <w:tcPr>
            <w:tcW w:w="38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TITAN COMPANY LIMITED, JEWELLERY</w:t>
            </w:r>
          </w:p>
        </w:tc>
        <w:tc>
          <w:tcPr>
            <w:tcW w:w="2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DIVISION</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CID004491</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CID004692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Attero Recycling Pvt Ltd</w:t>
            </w:r>
          </w:p>
        </w:tc>
        <w:tc>
          <w:tcPr>
            <w:tcW w:w="2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CID004697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PT Mitra Stania Prima</w:t>
            </w:r>
          </w:p>
        </w:tc>
        <w:tc>
          <w:tcPr>
            <w:tcW w:w="2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Indonesia</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CID001453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240"/>
          </w:cols>
          <w:pgMar w:left="320" w:top="93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Timah Tbk Kundur</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CID001477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PT Timah Tbk Mentok</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CID001482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CID000309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Communication</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CID001397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Artha Cipta Langgeng</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CID001399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Active</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PT Prima Timah Utama</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CID001458</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CID002503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CV Ayi Jaya</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CID002570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Rajehan Ariq</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CID002593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PT Cipta Persada Mulia</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CID002696</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Masbro Alam Stania</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CID003380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CID003449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CID003868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CID000313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Bangka Prima Tin</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CID002776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PT Mitra Graha Raya</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CID004685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Communication</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Chimet S.p.A.</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Italy</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CID000233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T.C.A S.p.A</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Italy</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CID002580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8853 S.p.A.</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Italy</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CID002763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Italpreziosi</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Italy</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CID002765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Safimet S.p.A</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Italy</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CID002973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CID001191</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A.L.M.T. Corp.</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CID000004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CID000019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Asahi Pretec Corp.</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CID000082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Asaka Riken Co., Ltd.</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CID000090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Chugai Mining</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CID000264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Dowa</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CID000401</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Dowa</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CID000402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CID000425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CID000807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 Mint</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CID000823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 New Metals Co., Ltd.</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CID000825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CID000937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Kojima Chemicals Co., Ltd.</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CID000981</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Matsuda Sangyo Co., Ltd.</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CID001119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CID001188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CID001192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CID001193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Nihon Material Co., Ltd.</w:t>
            </w:r>
          </w:p>
        </w:tc>
        <w:tc>
          <w:tcPr>
            <w:tcW w:w="2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CID001259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240"/>
          </w:cols>
          <w:pgMar w:left="320" w:top="93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CID001325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CID001798</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Taki Chemical Co., Ltd.</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CID001869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CID001875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Tokuriki Honten Co., Ltd.</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CID001938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Yamakin Co., Ltd.</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CID002100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Yokohama Metal Co., Ltd.</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CID002129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TANIOBIS Japan Co., Ltd.</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CID002549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CID002558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CID003424</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CID003425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6"/>
        </w:trPr>
        <w:tc>
          <w:tcPr>
            <w:tcW w:w="840" w:type="dxa"/>
            <w:vAlign w:val="bottom"/>
            <w:shd w:val="clear" w:color="auto" w:fill="CCEEFF"/>
          </w:tcPr>
          <w:p>
            <w:pPr>
              <w:spacing w:after="0"/>
              <w:rPr>
                <w:sz w:val="15"/>
                <w:szCs w:val="15"/>
                <w:color w:val="auto"/>
              </w:rPr>
            </w:pPr>
          </w:p>
        </w:tc>
        <w:tc>
          <w:tcPr>
            <w:tcW w:w="40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Takehara PVD Materials Plant / PVD Materials</w:t>
            </w:r>
          </w:p>
        </w:tc>
        <w:tc>
          <w:tcPr>
            <w:tcW w:w="20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r>
      <w:tr>
        <w:trPr>
          <w:trHeight w:val="184"/>
        </w:trPr>
        <w:tc>
          <w:tcPr>
            <w:tcW w:w="840" w:type="dxa"/>
            <w:vAlign w:val="bottom"/>
            <w:shd w:val="clear" w:color="auto" w:fill="CCEEFF"/>
          </w:tcPr>
          <w:p>
            <w:pPr>
              <w:spacing w:after="0"/>
              <w:rPr>
                <w:sz w:val="16"/>
                <w:szCs w:val="16"/>
                <w:color w:val="auto"/>
              </w:rPr>
            </w:pPr>
          </w:p>
        </w:tc>
        <w:tc>
          <w:tcPr>
            <w:tcW w:w="406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Division of MITSUI MINING &amp; SMELTING CO.,</w:t>
            </w:r>
          </w:p>
        </w:tc>
        <w:tc>
          <w:tcPr>
            <w:tcW w:w="20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r>
      <w:tr>
        <w:trPr>
          <w:trHeight w:val="234"/>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CID004403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Kazakhmys Smelting LLC</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CID000956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Kazzinc</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CID000957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CID001969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TOO Tau-Ken-Altyn</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CID002615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DSC (Do Sung Corporation)</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CID000359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LT Metal Ltd.</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CID000689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6"/>
        </w:trPr>
        <w:tc>
          <w:tcPr>
            <w:tcW w:w="8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Communication Suspended - Not</w:t>
            </w: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HwaSeong CJ CO., LTD.</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CID000778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LS MnM Inc.</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CID001078</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Samduck Precious Metals</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CID001555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76"/>
        </w:trPr>
        <w:tc>
          <w:tcPr>
            <w:tcW w:w="840" w:type="dxa"/>
            <w:vAlign w:val="bottom"/>
            <w:shd w:val="clear" w:color="auto" w:fill="CCEEFF"/>
          </w:tcPr>
          <w:p>
            <w:pPr>
              <w:spacing w:after="0"/>
              <w:rPr>
                <w:sz w:val="15"/>
                <w:szCs w:val="15"/>
                <w:color w:val="auto"/>
              </w:rPr>
            </w:pPr>
          </w:p>
        </w:tc>
        <w:tc>
          <w:tcPr>
            <w:tcW w:w="40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Communication Suspended - Not</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Samwon Metals Corp.</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CID001562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Torecom</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CID001955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Korea Zinc Co., Ltd.</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CID002605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SungEel HiMetal Co., Ltd.</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CID002918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NH Recytech Company</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CID003189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Tungamoy Metals Inc.</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CID005248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Kyrgyzaltyn JSC</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Kyrgyzstan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CID001029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75"/>
        </w:trPr>
        <w:tc>
          <w:tcPr>
            <w:tcW w:w="840" w:type="dxa"/>
            <w:vAlign w:val="bottom"/>
          </w:tcPr>
          <w:p>
            <w:pPr>
              <w:spacing w:after="0"/>
              <w:rPr>
                <w:sz w:val="15"/>
                <w:szCs w:val="15"/>
                <w:color w:val="auto"/>
              </w:rPr>
            </w:pPr>
          </w:p>
        </w:tc>
        <w:tc>
          <w:tcPr>
            <w:tcW w:w="40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State Research Institute Center for Physical Sciences</w:t>
            </w:r>
          </w:p>
        </w:tc>
        <w:tc>
          <w:tcPr>
            <w:tcW w:w="2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Technology</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Lithuania</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CID003153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Modeltech Sdn Bhd</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CID002857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Modeltech Sdn Bhd</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CID002858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CID004434</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Caridad</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CID000180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CID001161</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KEMET de Mexico</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CID002539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REMONDIS PMR B.V.</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Netherlands</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CID002582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Morris and Watson</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Zealand</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CID002282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 Rasmussen</w:t>
            </w:r>
          </w:p>
        </w:tc>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Norway</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CID003497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Minsur</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CID001182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240"/>
          </w:cols>
          <w:pgMar w:left="320" w:top="931"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Minera Titán del Perú SRL (MTP) - Belen Plant</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Peru</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CID005014</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SOLEIL METALS (Chala One Plant)</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Peru</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CID004704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Active</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SOLEIL METALS (YAKARI Plant)</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Peru</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CID004705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Active</w:t>
            </w:r>
          </w:p>
        </w:tc>
      </w:tr>
      <w:tr>
        <w:trPr>
          <w:trHeight w:val="176"/>
        </w:trPr>
        <w:tc>
          <w:tcPr>
            <w:tcW w:w="840" w:type="dxa"/>
            <w:vAlign w:val="bottom"/>
          </w:tcPr>
          <w:p>
            <w:pPr>
              <w:spacing w:after="0"/>
              <w:rPr>
                <w:sz w:val="15"/>
                <w:szCs w:val="15"/>
                <w:color w:val="auto"/>
              </w:rPr>
            </w:pPr>
          </w:p>
        </w:tc>
        <w:tc>
          <w:tcPr>
            <w:tcW w:w="4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1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Philippines)</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Philippines</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CID000128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Philippines</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CID002517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Philippines</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CID004438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76"/>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Philippine Bonway Manufacturing Industrial</w:t>
            </w:r>
          </w:p>
        </w:tc>
        <w:tc>
          <w:tcPr>
            <w:tcW w:w="19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Corporation</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Philippines</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CID004797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Fenix Metals</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Poland</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CID000468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Poland</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CID002511</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Albino Mountinho Lda.</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Portugal</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CID002760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175"/>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JSC Novosibirsk Refinery</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CID000493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5"/>
        </w:trPr>
        <w:tc>
          <w:tcPr>
            <w:tcW w:w="8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6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JSC Ekaterinburg Non-Ferrous Metal Processing Plant Russian Federation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CID000927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6"/>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JSC Uralelectromed</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CID000929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6"/>
        </w:trPr>
        <w:tc>
          <w:tcPr>
            <w:tcW w:w="8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CID001204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6"/>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Novosibirsk Tin Combine</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CID001305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6"/>
        </w:trPr>
        <w:tc>
          <w:tcPr>
            <w:tcW w:w="840" w:type="dxa"/>
            <w:vAlign w:val="bottom"/>
          </w:tcPr>
          <w:p>
            <w:pPr>
              <w:spacing w:after="0"/>
              <w:rPr>
                <w:sz w:val="15"/>
                <w:szCs w:val="15"/>
                <w:color w:val="auto"/>
              </w:rPr>
            </w:pPr>
          </w:p>
        </w:tc>
        <w:tc>
          <w:tcPr>
            <w:tcW w:w="4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OJSC "The Gulidov Krasnoyarsk Non-Ferrous Metals</w:t>
            </w:r>
          </w:p>
        </w:tc>
        <w:tc>
          <w:tcPr>
            <w:tcW w:w="1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(OJSC Krastsvetmet)</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CID001326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5"/>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CID001386</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5"/>
        </w:trPr>
        <w:tc>
          <w:tcPr>
            <w:tcW w:w="840" w:type="dxa"/>
            <w:vAlign w:val="bottom"/>
          </w:tcPr>
          <w:p>
            <w:pPr>
              <w:spacing w:after="0"/>
              <w:rPr>
                <w:sz w:val="15"/>
                <w:szCs w:val="15"/>
                <w:color w:val="auto"/>
              </w:rPr>
            </w:pPr>
          </w:p>
        </w:tc>
        <w:tc>
          <w:tcPr>
            <w:tcW w:w="4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SOE Shyolkovsky Factory of Secondary Precious</w:t>
            </w:r>
          </w:p>
        </w:tc>
        <w:tc>
          <w:tcPr>
            <w:tcW w:w="1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Metals</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CID001756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5"/>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CID001769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5"/>
        </w:trPr>
        <w:tc>
          <w:tcPr>
            <w:tcW w:w="8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Hydrometallurg, JSC</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CID002649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CID002724</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75"/>
        </w:trPr>
        <w:tc>
          <w:tcPr>
            <w:tcW w:w="8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Moliren Ltd.</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CID002845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5"/>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CID002865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5"/>
        </w:trPr>
        <w:tc>
          <w:tcPr>
            <w:tcW w:w="8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CID003408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5"/>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NPP Tyazhmetprom LLC</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CID003416</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5"/>
        </w:trPr>
        <w:tc>
          <w:tcPr>
            <w:tcW w:w="8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OOO “Technolom” 2</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CID003612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175"/>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OOO “Technolom” 1</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CID003614</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Luna Smelter, Ltd.</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Rwanda</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CID003387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PowerX Ltd.</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Rwanda</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CID004054</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5"/>
        </w:trPr>
        <w:tc>
          <w:tcPr>
            <w:tcW w:w="8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Gasabo Gold Refinery Ltd</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Rwanda</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CID005006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Singapore</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CID001152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Rand Refinery (Pty) Ltd.</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South Africa</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CID001512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 Traders and Refiners</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South Africa</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CID002850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South Africa</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CID003575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South Africa</w:t>
            </w:r>
          </w:p>
        </w:tc>
        <w:tc>
          <w:tcPr>
            <w:tcW w:w="1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CID004714</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1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Spain</w:t>
            </w:r>
          </w:p>
        </w:tc>
        <w:tc>
          <w:tcPr>
            <w:tcW w:w="1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CID001585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240"/>
          </w:cols>
          <w:pgMar w:left="320" w:top="936"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Aurubis Berango</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Spain</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CID002774</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CRM Synergies</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Spain</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CID003524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Boliden Ronnskar</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Sweden</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CID000157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MKS PAMP SA</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Switzerland</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CID001352</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Argor-Heraeus S.A.</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Switzerland</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CID000077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Cendres + Metaux S.A.</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Switzerland</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CID000189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Metalor Technologies S.A.</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Switzerland</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CID001153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PX Precinox S.A.</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Switzerland</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CID001498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Valcambi S.A.</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Switzerland</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CID002003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Rui Da Hung</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CID001539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CID001761</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CID001810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CID002516</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Lianyou Metals Co., Ltd.</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CID003407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Lianyou Resources Co., Ltd.</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CID004397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Elite Industech Co., Ltd.</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CID004755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CID005012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GG Refinery Ltd.</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CID004506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Thaisarco</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Thailand</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CID001898</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Thailand</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CID001314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Thailand</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CID002314</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TANIOBIS Co., Ltd.</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Thailand</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CID002544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Istanbul Gold Refinery</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Turkey</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CID000814</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Turkey</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CID001220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6"/>
        </w:trPr>
        <w:tc>
          <w:tcPr>
            <w:tcW w:w="84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African Gold Refinery</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Uganda</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CID003185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Uganda</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CID004724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Arab Emirates</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CID002560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Emirates Gold DMCC</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Arab Emirates</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CID002561</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Arab Emirates</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CID002562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Fujairah Gold FZC</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Arab Emirates</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CID002584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Arab Emirates</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CID003348</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Sam Precious Metals</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Arab Emirates</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CID003666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CID000292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CID000015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Kennametal Huntsville</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CID000105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CID000568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Asahi Refining USA Inc.</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CID000920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Kennametal Fallon</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CID000966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CID000969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Materion</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CID001113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Metallic Resources, Inc.</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CID001142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CID001157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5"/>
        </w:trPr>
        <w:tc>
          <w:tcPr>
            <w:tcW w:w="84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Communication Suspended - Not</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Sabin Metal Corp.</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CID001546</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Telex Metals</w:t>
            </w:r>
          </w:p>
        </w:tc>
        <w:tc>
          <w:tcPr>
            <w:tcW w:w="2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CID001891</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CID001993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240"/>
          </w:cols>
          <w:pgMar w:left="320" w:top="936"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 Block Metals, LLC</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CID002504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Materion Newton Inc.</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CID002548</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CID002557</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Niagara Refining LLC</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CID002589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CID002708</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6"/>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Communication Suspended - Not</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Pease &amp; Curren</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CID002872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QG Refining, LLC</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CID003324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CID003325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Alexy Metals</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CID003500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Metallix Refining Inc.</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CID003557</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NOBLE METAL SERVICES</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CID003690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 Kay Metal, Inc</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CID005189</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Conecsus LLC</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CID003504</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Active</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Almalyk Mining and Metallurgical Complex (AMMC) Uzbekistan</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CID000041</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Uzbekistan</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CID001236</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Uzbek Refractory and Heat-Resistant Metals</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Uzbekistan</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CID002660</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Active</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CID002015</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CID002502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Masan High-Tech Materials</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CID002543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6"/>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Electro-Mechanical Facility of the Cao Bang Minerals</w:t>
            </w:r>
          </w:p>
        </w:tc>
        <w:tc>
          <w:tcPr>
            <w:tcW w:w="2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&amp; Metallurgy Joint Stock Company</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CID002572</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CID002573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CID002703</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CID003993</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CID004034</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CID004619</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Conformant</w:t>
            </w:r>
          </w:p>
        </w:tc>
      </w:tr>
      <w:tr>
        <w:trPr>
          <w:trHeight w:val="175"/>
        </w:trPr>
        <w:tc>
          <w:tcPr>
            <w:tcW w:w="84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7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RMI Due Diligence Review -</w:t>
            </w:r>
          </w:p>
        </w:tc>
      </w:tr>
      <w:tr>
        <w:trPr>
          <w:trHeight w:val="24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Zimbabwe</w:t>
            </w:r>
          </w:p>
        </w:tc>
        <w:tc>
          <w:tcPr>
            <w:tcW w:w="1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CID002515</w:t>
            </w: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Unable to Proceed</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Locations were obtained directly from the individual smelter files. Therefore, the naming convention for the same location may vary across smelters.</w:t>
      </w:r>
    </w:p>
    <w:p>
      <w:pPr>
        <w:spacing w:after="0" w:line="23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i w:val="1"/>
          <w:iCs w:val="1"/>
          <w:color w:val="auto"/>
        </w:rPr>
        <w:t>Certain first tier suppliers reported the potential presence of certain smelters sanctioned by the United States Department of Treasury, Office of Foreign Assets Control as part of their supply chains. CONMED is committed to compliance with all U.S. sanctions laws and regulations and does not have any direct dealings with sanctioned smelters. In its ongoing due diligence process, CONMED requested confirmation from its suppliers that they did not source materials from the sanctioned smelters in CONMED’s direct supply chain. To date, CONMED has not confirmed that any of its suppliers source from these sanctioned smelters for products in CONMED’s direct supply chain. CONMED continues to actively engage its suppliers and conduct independent due diligence to ensure compliance with all U.S. sanctions laws.</w:t>
      </w:r>
    </w:p>
    <w:p>
      <w:pPr>
        <w:sectPr>
          <w:pgSz w:w="11900" w:h="16838" w:orient="portrait"/>
          <w:cols w:equalWidth="0" w:num="1">
            <w:col w:w="11240"/>
          </w:cols>
          <w:pgMar w:left="320" w:top="93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Attachment B</w:t>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22222"/>
        </w:rPr>
        <w:t>This list of potential countries of origin is populated based on publicly available information, our RCOI and due diligence. It is important to note that this is also based on company level responses and therefore, it is not certain which of these countries of origin can be linked to our products.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Albania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Ecuador</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Lithuania</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Sierra Leone</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Andorra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Egypt</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Luxembourg</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Angola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 Salvador</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Madagascar</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Slovakia</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Eritrea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Malaysia</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Solomon Islands</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Armenia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Estonia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Mali</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Ethiopia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Mauritania</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South Sudan</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Fiji</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Mexico</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Azerbaijan</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Finland</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Mongolia</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Sudan</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Belarus</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France</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Morocco</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Suriname</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Georgia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Mozambique</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Benin</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Germany</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Myanmar</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Ghana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Namibia</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Taiwan</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Guatemala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Netherlands</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Tajikistan</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Botswana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Guinea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Zealand</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Tanzania</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Guyana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Nicaragua</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Thailand</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Bulgaria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Honduras</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Niger</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Turkey</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Burkina Faso</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Hong Kong</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Nigeria</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Uganda</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Burundi</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Hungary</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Norway</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Cambodia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India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Oman</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Indonesia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Panama</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Central African Republic</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Ireland</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Papua New Guinea</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Uruguay</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Israel</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Peru</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Uzbekistan</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Philippines</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Vietnam</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Jersey</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Poland</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Zambia</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Congo</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Kazakhstan</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Portugal</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Zimbabwe</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Cyprus</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Kenya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Russian Federation</w:t>
            </w:r>
          </w:p>
        </w:tc>
        <w:tc>
          <w:tcPr>
            <w:tcW w:w="2480" w:type="dxa"/>
            <w:vAlign w:val="bottom"/>
          </w:tcPr>
          <w:p>
            <w:pPr>
              <w:spacing w:after="0"/>
              <w:rPr>
                <w:sz w:val="19"/>
                <w:szCs w:val="19"/>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Democratic Republic of Congo</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Korea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Rwanda</w:t>
            </w:r>
          </w:p>
        </w:tc>
        <w:tc>
          <w:tcPr>
            <w:tcW w:w="2480" w:type="dxa"/>
            <w:vAlign w:val="bottom"/>
          </w:tcPr>
          <w:p>
            <w:pPr>
              <w:spacing w:after="0"/>
              <w:rPr>
                <w:sz w:val="19"/>
                <w:szCs w:val="19"/>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Djibouti</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Kyrgyzstan</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Saudi Arabia</w:t>
            </w:r>
          </w:p>
        </w:tc>
        <w:tc>
          <w:tcPr>
            <w:tcW w:w="2480" w:type="dxa"/>
            <w:vAlign w:val="bottom"/>
          </w:tcPr>
          <w:p>
            <w:pPr>
              <w:spacing w:after="0"/>
              <w:rPr>
                <w:sz w:val="19"/>
                <w:szCs w:val="19"/>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Dominica</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Liberia</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Senegal</w:t>
            </w:r>
          </w:p>
        </w:tc>
        <w:tc>
          <w:tcPr>
            <w:tcW w:w="2480" w:type="dxa"/>
            <w:vAlign w:val="bottom"/>
          </w:tcPr>
          <w:p>
            <w:pPr>
              <w:spacing w:after="0"/>
              <w:rPr>
                <w:sz w:val="19"/>
                <w:szCs w:val="19"/>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Dominican Republic</w:t>
            </w:r>
          </w:p>
        </w:tc>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Liechtenstein</w:t>
            </w:r>
          </w:p>
        </w:tc>
        <w:tc>
          <w:tcPr>
            <w:tcW w:w="3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Serbia</w:t>
            </w:r>
          </w:p>
        </w:tc>
        <w:tc>
          <w:tcPr>
            <w:tcW w:w="24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
    <w:nsid w:val="46E87CCD"/>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2026-05-28T08:36:28Z</dcterms:created>
  <dcterms:modified xsi:type="dcterms:W3CDTF">2026-05-28T08:36:28Z</dcterms:modified>
</cp:coreProperties>
</file>