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 (d) OF THE</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April 1, 2025</w:t>
      </w:r>
    </w:p>
    <w:p>
      <w:pPr>
        <w:spacing w:after="0" w:line="200" w:lineRule="exact"/>
        <w:rPr>
          <w:sz w:val="24"/>
          <w:szCs w:val="24"/>
          <w:color w:val="auto"/>
        </w:rPr>
      </w:pP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6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Delaware</w:t>
            </w:r>
          </w:p>
        </w:tc>
        <w:tc>
          <w:tcPr>
            <w:tcW w:w="2900" w:type="dxa"/>
            <w:vAlign w:val="bottom"/>
            <w:gridSpan w:val="5"/>
          </w:tcPr>
          <w:p>
            <w:pPr>
              <w:jc w:val="center"/>
              <w:ind w:left="1710"/>
              <w:spacing w:after="0"/>
              <w:rPr>
                <w:sz w:val="20"/>
                <w:szCs w:val="20"/>
                <w:color w:val="auto"/>
              </w:rPr>
            </w:pPr>
            <w:r>
              <w:rPr>
                <w:rFonts w:ascii="Times New Roman" w:cs="Times New Roman" w:eastAsia="Times New Roman" w:hAnsi="Times New Roman"/>
                <w:sz w:val="18"/>
                <w:szCs w:val="18"/>
                <w:color w:val="auto"/>
                <w:w w:val="99"/>
              </w:rPr>
              <w:t>001-39218</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16-0977505</w:t>
            </w:r>
          </w:p>
        </w:tc>
      </w:tr>
      <w:tr>
        <w:trPr>
          <w:trHeight w:val="20"/>
        </w:trPr>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8"/>
        </w:trPr>
        <w:tc>
          <w:tcPr>
            <w:tcW w:w="2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9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30"/>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20" w:type="dxa"/>
            <w:vAlign w:val="bottom"/>
            <w:gridSpan w:val="6"/>
          </w:tcPr>
          <w:p>
            <w:pPr>
              <w:jc w:val="center"/>
              <w:ind w:right="1800"/>
              <w:spacing w:after="0"/>
              <w:rPr>
                <w:sz w:val="20"/>
                <w:szCs w:val="20"/>
                <w:color w:val="auto"/>
              </w:rPr>
            </w:pPr>
            <w:r>
              <w:rPr>
                <w:rFonts w:ascii="Times New Roman" w:cs="Times New Roman" w:eastAsia="Times New Roman" w:hAnsi="Times New Roman"/>
                <w:sz w:val="18"/>
                <w:szCs w:val="18"/>
                <w:color w:val="auto"/>
                <w:w w:val="99"/>
              </w:rPr>
              <w:t>11311 Concept Blvd</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320" w:type="dxa"/>
            <w:vAlign w:val="bottom"/>
            <w:gridSpan w:val="6"/>
          </w:tcPr>
          <w:p>
            <w:pPr>
              <w:jc w:val="center"/>
              <w:ind w:right="1800"/>
              <w:spacing w:after="0" w:line="194" w:lineRule="exact"/>
              <w:rPr>
                <w:sz w:val="20"/>
                <w:szCs w:val="20"/>
                <w:color w:val="auto"/>
              </w:rPr>
            </w:pPr>
            <w:r>
              <w:rPr>
                <w:rFonts w:ascii="Times New Roman" w:cs="Times New Roman" w:eastAsia="Times New Roman" w:hAnsi="Times New Roman"/>
                <w:sz w:val="18"/>
                <w:szCs w:val="18"/>
                <w:color w:val="auto"/>
                <w:w w:val="98"/>
              </w:rPr>
              <w:t>Largo, Florida 33773</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90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1"/>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gridSpan w:val="2"/>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(727) 392-6464</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90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Securities registered pursuant to Rule 12(b) of the Act</w:t>
            </w:r>
          </w:p>
        </w:tc>
        <w:tc>
          <w:tcPr>
            <w:tcW w:w="3180" w:type="dxa"/>
            <w:vAlign w:val="bottom"/>
          </w:tcPr>
          <w:p>
            <w:pPr>
              <w:spacing w:after="0"/>
              <w:rPr>
                <w:sz w:val="20"/>
                <w:szCs w:val="20"/>
                <w:color w:val="auto"/>
              </w:rPr>
            </w:pPr>
          </w:p>
        </w:tc>
      </w:tr>
      <w:tr>
        <w:trPr>
          <w:trHeight w:val="391"/>
        </w:trPr>
        <w:tc>
          <w:tcPr>
            <w:tcW w:w="520" w:type="dxa"/>
            <w:vAlign w:val="bottom"/>
          </w:tcPr>
          <w:p>
            <w:pPr>
              <w:spacing w:after="0"/>
              <w:rPr>
                <w:sz w:val="24"/>
                <w:szCs w:val="24"/>
                <w:color w:val="auto"/>
              </w:rPr>
            </w:pPr>
          </w:p>
        </w:tc>
        <w:tc>
          <w:tcPr>
            <w:tcW w:w="20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60" w:type="dxa"/>
            <w:vAlign w:val="bottom"/>
          </w:tcPr>
          <w:p>
            <w:pPr>
              <w:spacing w:after="0"/>
              <w:rPr>
                <w:sz w:val="24"/>
                <w:szCs w:val="24"/>
                <w:color w:val="auto"/>
              </w:rPr>
            </w:pPr>
          </w:p>
        </w:tc>
        <w:tc>
          <w:tcPr>
            <w:tcW w:w="27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2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560" w:type="dxa"/>
            <w:vAlign w:val="bottom"/>
          </w:tcPr>
          <w:p>
            <w:pPr>
              <w:spacing w:after="0"/>
              <w:rPr>
                <w:sz w:val="20"/>
                <w:szCs w:val="20"/>
                <w:color w:val="auto"/>
              </w:rPr>
            </w:pPr>
          </w:p>
        </w:tc>
        <w:tc>
          <w:tcPr>
            <w:tcW w:w="27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CNMD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198"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 w:name="page2"/>
    <w:bookmarkEnd w:id="1"/>
    <w:p>
      <w:pPr>
        <w:ind w:left="1300" w:right="11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27, 2025 (the “Effective Date”), Andrew Moller, 50, started serving in the role of Vice President, Corporate Controller of CONMED Corporation (the “Company”). On April 1, 2025, Mr. Moller was appointed Principal Accounting Officer, and Todd W. Garner, Executive Vice President of Finance and Chief Financial Officer, ceased serving in the role of Principal Accounting Officer. Kimberly A. Lockwood, who was acting as Interim Corporate Controller, has been promoted to Senior Director of Financial Reporting.</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Moller served in a variety of roles at Smith &amp; Nephew plc between 2019 and joining the Company, most recently as Vice President, Global Process Owner – Finance and previously as Chief Financial Officer – Asia Pacific Group. Prior thereto, Mr. Moller served in a variety of roles at Stanley Black &amp; Decker from 2011 to 2019, including Director of Internal Audit. Mr. Moller is a certified public accountant and holds a Master of International Business Studies from the University of South Carolina and a Bachelor of Science degree in Business Administration from College of Charleston.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related-party transactions that would be required to be disclosed under Item 404(a) of Regulation S-K with respect to Mr. Moller.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7180" w:type="dxa"/>
            <w:vAlign w:val="bottom"/>
            <w:gridSpan w:val="4"/>
          </w:tcPr>
          <w:p>
            <w:pPr>
              <w:ind w:left="2460"/>
              <w:spacing w:after="0"/>
              <w:rPr>
                <w:sz w:val="20"/>
                <w:szCs w:val="20"/>
                <w:color w:val="auto"/>
              </w:rPr>
            </w:pPr>
            <w:r>
              <w:rPr>
                <w:rFonts w:ascii="Times New Roman" w:cs="Times New Roman" w:eastAsia="Times New Roman" w:hAnsi="Times New Roman"/>
                <w:sz w:val="18"/>
                <w:szCs w:val="18"/>
                <w:color w:val="auto"/>
              </w:rPr>
              <w:t>CONMED CORPORATION</w:t>
            </w:r>
          </w:p>
        </w:tc>
      </w:tr>
      <w:tr>
        <w:trPr>
          <w:trHeight w:val="234"/>
        </w:trPr>
        <w:tc>
          <w:tcPr>
            <w:tcW w:w="4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4060" w:type="dxa"/>
            <w:vAlign w:val="bottom"/>
          </w:tcPr>
          <w:p>
            <w:pPr>
              <w:spacing w:after="0"/>
              <w:rPr>
                <w:sz w:val="24"/>
                <w:szCs w:val="24"/>
                <w:color w:val="auto"/>
              </w:rPr>
            </w:pPr>
          </w:p>
        </w:tc>
        <w:tc>
          <w:tcPr>
            <w:tcW w:w="3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0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Todd W. Garner</w:t>
            </w:r>
          </w:p>
        </w:tc>
      </w:tr>
      <w:tr>
        <w:trPr>
          <w:trHeight w:val="218"/>
        </w:trPr>
        <w:tc>
          <w:tcPr>
            <w:tcW w:w="4060" w:type="dxa"/>
            <w:vAlign w:val="bottom"/>
          </w:tcPr>
          <w:p>
            <w:pPr>
              <w:spacing w:after="0"/>
              <w:rPr>
                <w:sz w:val="18"/>
                <w:szCs w:val="18"/>
                <w:color w:val="auto"/>
              </w:rPr>
            </w:pPr>
          </w:p>
        </w:tc>
        <w:tc>
          <w:tcPr>
            <w:tcW w:w="3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Name:</w:t>
            </w:r>
          </w:p>
        </w:tc>
        <w:tc>
          <w:tcPr>
            <w:tcW w:w="300" w:type="dxa"/>
            <w:vAlign w:val="bottom"/>
          </w:tcPr>
          <w:p>
            <w:pPr>
              <w:spacing w:after="0"/>
              <w:rPr>
                <w:sz w:val="18"/>
                <w:szCs w:val="18"/>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Todd W. Garner</w:t>
            </w:r>
          </w:p>
        </w:tc>
        <w:tc>
          <w:tcPr>
            <w:tcW w:w="248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3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0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Finance &amp;</w:t>
            </w:r>
          </w:p>
        </w:tc>
      </w:tr>
      <w:tr>
        <w:trPr>
          <w:trHeight w:val="234"/>
        </w:trPr>
        <w:tc>
          <w:tcPr>
            <w:tcW w:w="4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40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2025-04-01T15:10:13Z</dcterms:created>
  <dcterms:modified xsi:type="dcterms:W3CDTF">2025-04-01T15:10:13Z</dcterms:modified>
</cp:coreProperties>
</file>