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5</w:t>
      </w:r>
    </w:p>
    <w:p>
      <w:pPr>
        <w:spacing w:after="0" w:line="52"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5</w:t>
      </w:r>
    </w:p>
    <w:p>
      <w:pPr>
        <w:spacing w:after="0" w:line="165" w:lineRule="exact"/>
        <w:rPr>
          <w:sz w:val="24"/>
          <w:szCs w:val="24"/>
          <w:color w:val="auto"/>
        </w:rPr>
      </w:pPr>
    </w:p>
    <w:p>
      <w:pPr>
        <w:ind w:left="3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76835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107950</wp:posOffset>
            </wp:positionV>
            <wp:extent cx="127000" cy="12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6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4 Transactions Reported.</w:t>
      </w:r>
    </w:p>
    <w:p>
      <w:pPr>
        <w:spacing w:after="0" w:line="156"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-411480</wp:posOffset>
            </wp:positionV>
            <wp:extent cx="127000" cy="12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2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4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restart"/>
          </w:tcPr>
          <w:p>
            <w:pPr>
              <w:jc w:val="center"/>
              <w:ind w:right="43"/>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5312410</wp:posOffset>
            </wp:positionH>
            <wp:positionV relativeFrom="paragraph">
              <wp:posOffset>-648335</wp:posOffset>
            </wp:positionV>
            <wp:extent cx="59055" cy="661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-648335</wp:posOffset>
            </wp:positionV>
            <wp:extent cx="59055" cy="661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spacing w:after="0" w:line="74"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9"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766445</wp:posOffset>
            </wp:positionV>
            <wp:extent cx="6988810" cy="4893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8810" cy="4893945"/>
                    </a:xfrm>
                    <a:prstGeom prst="rect">
                      <a:avLst/>
                    </a:prstGeom>
                    <a:noFill/>
                  </pic:spPr>
                </pic:pic>
              </a:graphicData>
            </a:graphic>
          </wp:anchor>
        </w:drawing>
      </w:r>
    </w:p>
    <w:p>
      <w:pPr>
        <w:spacing w:after="0" w:line="1278" w:lineRule="exact"/>
        <w:rPr>
          <w:sz w:val="24"/>
          <w:szCs w:val="24"/>
          <w:color w:val="auto"/>
        </w:rPr>
      </w:pPr>
    </w:p>
    <w:p>
      <w:pPr>
        <w:sectPr>
          <w:pgSz w:w="11900" w:h="16838" w:orient="portrait"/>
          <w:cols w:equalWidth="0" w:num="2">
            <w:col w:w="2340" w:space="14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Lalomia Brent</w:t>
        </w:r>
      </w:hyperlink>
    </w:p>
    <w:p>
      <w:pPr>
        <w:spacing w:after="0" w:line="31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CONMED CORPORATION</w:t>
            </w:r>
          </w:p>
        </w:tc>
        <w:tc>
          <w:tcPr>
            <w:tcW w:w="12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11311 CONCEPT BOULEVARD</w:t>
            </w:r>
          </w:p>
        </w:tc>
        <w:tc>
          <w:tcPr>
            <w:tcW w:w="12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LARGO</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33773</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760" w:type="dxa"/>
            <w:vAlign w:val="bottom"/>
            <w:gridSpan w:val="3"/>
          </w:tcPr>
          <w:p>
            <w:pPr>
              <w:spacing w:after="0" w:line="147"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 xml:space="preserve">CONMED Corp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CNMD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Executive VP RA, QA</w:t>
            </w:r>
          </w:p>
        </w:tc>
        <w:tc>
          <w:tcPr>
            <w:tcW w:w="0" w:type="dxa"/>
            <w:vAlign w:val="bottom"/>
          </w:tcPr>
          <w:p>
            <w:pPr>
              <w:spacing w:after="0"/>
              <w:rPr>
                <w:sz w:val="1"/>
                <w:szCs w:val="1"/>
                <w:color w:val="auto"/>
              </w:rPr>
            </w:pPr>
          </w:p>
        </w:tc>
      </w:tr>
      <w:tr>
        <w:trPr>
          <w:trHeight w:val="227"/>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12/31/2024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2"/>
                <w:szCs w:val="12"/>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20"/>
                <w:szCs w:val="20"/>
                <w:color w:val="auto"/>
              </w:rPr>
            </w:pPr>
            <w:r>
              <w:rPr>
                <w:rFonts w:ascii="Arial" w:cs="Arial" w:eastAsia="Arial" w:hAnsi="Arial"/>
                <w:sz w:val="12"/>
                <w:szCs w:val="12"/>
                <w:b w:val="1"/>
                <w:bCs w:val="1"/>
                <w:color w:val="auto"/>
              </w:rPr>
              <w:t>6.</w:t>
            </w:r>
          </w:p>
        </w:tc>
        <w:tc>
          <w:tcPr>
            <w:tcW w:w="46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(D) (Instr. 3, 4 and 5)</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320" w:type="dxa"/>
            <w:vAlign w:val="bottom"/>
            <w:vMerge w:val="restart"/>
          </w:tcPr>
          <w:p>
            <w:pPr>
              <w:spacing w:after="0" w:line="134" w:lineRule="exact"/>
              <w:rPr>
                <w:sz w:val="20"/>
                <w:szCs w:val="20"/>
                <w:color w:val="auto"/>
              </w:rPr>
            </w:pPr>
            <w:r>
              <w:rPr>
                <w:rFonts w:ascii="Arial" w:cs="Arial" w:eastAsia="Arial" w:hAnsi="Arial"/>
                <w:sz w:val="12"/>
                <w:szCs w:val="12"/>
                <w:b w:val="1"/>
                <w:bCs w:val="1"/>
                <w:color w:val="auto"/>
                <w:w w:val="93"/>
              </w:rPr>
              <w:t>(D) or</w:t>
            </w:r>
          </w:p>
        </w:tc>
        <w:tc>
          <w:tcPr>
            <w:tcW w:w="460" w:type="dxa"/>
            <w:vAlign w:val="bottom"/>
          </w:tcPr>
          <w:p>
            <w:pPr>
              <w:spacing w:after="0"/>
              <w:rPr>
                <w:sz w:val="6"/>
                <w:szCs w:val="6"/>
                <w:color w:val="auto"/>
              </w:rPr>
            </w:pP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401 (K) Plan</w:t>
            </w:r>
          </w:p>
        </w:tc>
        <w:tc>
          <w:tcPr>
            <w:tcW w:w="1080" w:type="dxa"/>
            <w:vAlign w:val="bottom"/>
          </w:tcPr>
          <w:p>
            <w:pPr>
              <w:spacing w:after="0"/>
              <w:rPr>
                <w:sz w:val="21"/>
                <w:szCs w:val="21"/>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12/31/2024</w:t>
            </w:r>
            <w:r>
              <w:rPr>
                <w:rFonts w:ascii="Times New Roman" w:cs="Times New Roman" w:eastAsia="Times New Roman" w:hAnsi="Times New Roman"/>
                <w:sz w:val="22"/>
                <w:szCs w:val="22"/>
                <w:color w:val="008000"/>
                <w:vertAlign w:val="superscript"/>
              </w:rPr>
              <w:t>(1)</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J</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22.993</w:t>
            </w:r>
          </w:p>
        </w:tc>
        <w:tc>
          <w:tcPr>
            <w:tcW w:w="22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68.44</w:t>
            </w:r>
          </w:p>
        </w:tc>
        <w:tc>
          <w:tcPr>
            <w:tcW w:w="60" w:type="dxa"/>
            <w:vAlign w:val="bottom"/>
          </w:tcPr>
          <w:p>
            <w:pPr>
              <w:spacing w:after="0"/>
              <w:rPr>
                <w:sz w:val="21"/>
                <w:szCs w:val="21"/>
                <w:color w:val="auto"/>
              </w:rPr>
            </w:pPr>
          </w:p>
        </w:tc>
        <w:tc>
          <w:tcPr>
            <w:tcW w:w="13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93.606</w:t>
            </w:r>
          </w:p>
        </w:tc>
        <w:tc>
          <w:tcPr>
            <w:tcW w:w="320" w:type="dxa"/>
            <w:vAlign w:val="bottom"/>
          </w:tcPr>
          <w:p>
            <w:pPr>
              <w:spacing w:after="0"/>
              <w:rPr>
                <w:sz w:val="21"/>
                <w:szCs w:val="21"/>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401 (K)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6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Transaction</w:t>
            </w:r>
          </w:p>
        </w:tc>
        <w:tc>
          <w:tcPr>
            <w:tcW w:w="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40"/>
              <w:spacing w:after="0"/>
              <w:rPr>
                <w:sz w:val="20"/>
                <w:szCs w:val="20"/>
                <w:color w:val="auto"/>
              </w:rPr>
            </w:pPr>
            <w:r>
              <w:rPr>
                <w:rFonts w:ascii="Arial" w:cs="Arial" w:eastAsia="Arial" w:hAnsi="Arial"/>
                <w:sz w:val="12"/>
                <w:szCs w:val="12"/>
                <w:b w:val="1"/>
                <w:bCs w:val="1"/>
                <w:color w:val="auto"/>
                <w:w w:val="88"/>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As of December 31, 2024.</w:t>
      </w:r>
    </w:p>
    <w:p>
      <w:pPr>
        <w:spacing w:after="0" w:line="7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Fistek for Brent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-3810</wp:posOffset>
            </wp:positionV>
            <wp:extent cx="1212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Lalomia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-12065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4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502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8720" w:space="8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32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CONMED CORPORATION</w:t>
      </w:r>
    </w:p>
    <w:p>
      <w:pPr>
        <w:spacing w:after="0" w:line="40"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7"/>
          <w:szCs w:val="17"/>
          <w:color w:val="auto"/>
        </w:rPr>
        <w:t>LIMITED POWER OF ATTORNEY FOR SECTION 16 AND RULE 144 FILINGS AND LOCKUP AGREEMENTS</w:t>
      </w:r>
    </w:p>
    <w:p>
      <w:pPr>
        <w:spacing w:after="0" w:line="1" w:lineRule="exact"/>
        <w:rPr>
          <w:sz w:val="20"/>
          <w:szCs w:val="20"/>
          <w:color w:val="auto"/>
        </w:rPr>
      </w:pPr>
    </w:p>
    <w:p>
      <w:pPr>
        <w:ind w:right="165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the following attorneys of CONMED Corporation (the "Company"): Thomas Fistek, Chief Counsel; Amber Straub, Counsel, Operations; Johanna Pelletier, Treasurer and Vice President Tax; Eric Staves, Vice President Corporate Finance; Kim Lockwood, Director Financial Reporting; Erica Chambers, Sr. Director Compensation and Business Process; Julie Hall, Manager Legal Operations and ESG; Celeste Templeton, Manager Compensation, and Michele Caiola, Paralegal, as the undersigned's true and lawful attorney-in-fact to: l. execute for and on behalf of the undersigned, in the undersigned's capacity as an officer or director or both of the Company, Forms 3, 4 and 5 (and any amendments thereto) in accordance with Section 16(a) of the Securities Exchange Act of 1934, as amended and the rules and regulations promulgated thereunder (the "Exchange Act"),, and any Form 144 under the Securities Act of 1933, as amended, as well as any Lock-Up Agreements; 2. do and perform any and all acts for and on behalf of the undersigned which may be necessary or desirable to complete and execute any such Form 3, 4, 5, Form 144 Notice or Lock-Up Agreements, complete and execute any amendments thereto, and timely file such form, with all amendments, supplements and exhibits thereto, with the Securities and Exchange Commission and any securities exchange or similar authority; 3. seek or obtain, as the undersigned's representative and on the undersigned's behalf, information on transactions in the Company's securities from any third party, including but not limited to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 4. 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thls Limited Power of Attorney shall be in such form and shall contain such information and disclosure as such attorney-in-fact may approve in such attorney-in-fact's discretion. The undersigned hereby grants to each such attorney-in-fact, acting individually,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lo be done by virtue of this Limited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 This Limited Power of Attorney shall remain in full force and effect until the undersigned is no longer required to file Forms 3, 4, 5 and 144 and Lock-Up Agreements with respect to the undersigned's holdings of and transactions in securities issued by the Company, unless earlier revoked by the undersigned in a signed writing delivered to each of the foregoing attorneys-in-fact. IN WITNESS WHEREOF, the undersigned has executed this Limited Power of Attorney as of this 22nd day of May, 2024. Signed and acknowledged: Brent Lalomia Signature Brent Lalomia Printed Name ACKNOWLEDGEMENT</w:t>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Florida</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Pinellas</w:t>
      </w:r>
    </w:p>
    <w:p>
      <w:pPr>
        <w:spacing w:after="0" w:line="176" w:lineRule="exact"/>
        <w:rPr>
          <w:sz w:val="20"/>
          <w:szCs w:val="20"/>
          <w:color w:val="auto"/>
        </w:rPr>
      </w:pPr>
    </w:p>
    <w:p>
      <w:pPr>
        <w:ind w:right="1759"/>
        <w:spacing w:after="0" w:line="255" w:lineRule="auto"/>
        <w:rPr>
          <w:sz w:val="20"/>
          <w:szCs w:val="20"/>
          <w:color w:val="auto"/>
        </w:rPr>
      </w:pPr>
      <w:r>
        <w:rPr>
          <w:rFonts w:ascii="Courier New" w:cs="Courier New" w:eastAsia="Courier New" w:hAnsi="Courier New"/>
          <w:sz w:val="17"/>
          <w:szCs w:val="17"/>
          <w:color w:val="auto"/>
        </w:rPr>
        <w:t>On May 22, 2024, before me, the undersigned, personally appeared Brent Lalomia, personally known to me or proved to me on the basis of satisfactory evidence to be the individual whose name is subscribed to the within instrument and acknowledged to me that he/she executed the same in his/her capacity, and that by his/her signature on the instrument, the individual, or the person upon behalf of which the individual acted, executed the instrument. Jacqueline A. Sinclair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 State of Florida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Jacqueline A. Sinclair</w:t>
      </w:r>
    </w:p>
    <w:p>
      <w:pPr>
        <w:spacing w:after="0" w:line="4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Comm.:</w:t>
        <w:tab/>
        <w:t>HH 413419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Expires: Jul 14, 2027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 - State of Florida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5" Type="http://schemas.openxmlformats.org/officeDocument/2006/relationships/hyperlink" Target="http://www.sec.gov/cgi-bin/browse-edgar?action=getcompany&amp;CIK=0001921560" TargetMode="External"/><Relationship Id="rId16" Type="http://schemas.openxmlformats.org/officeDocument/2006/relationships/hyperlink" Target="http://www.sec.gov/cgi-bin/browse-edgar?action=getcompany&amp;CIK=0000816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2025-04-07T12:18:09Z</dcterms:created>
  <dcterms:modified xsi:type="dcterms:W3CDTF">2025-04-07T12:18:09Z</dcterms:modified>
</cp:coreProperties>
</file>