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25" w:lineRule="exact"/>
        <w:rPr>
          <w:sz w:val="24"/>
          <w:szCs w:val="24"/>
          <w:color w:val="auto"/>
        </w:rPr>
      </w:pPr>
    </w:p>
    <w:p>
      <w:pPr>
        <w:ind w:left="3100" w:right="2679" w:hanging="438"/>
        <w:spacing w:after="0" w:line="263" w:lineRule="auto"/>
        <w:tabs>
          <w:tab w:leader="none" w:pos="290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100" w:right="2559" w:hanging="555"/>
        <w:spacing w:after="0" w:line="263" w:lineRule="auto"/>
        <w:tabs>
          <w:tab w:leader="none" w:pos="279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1"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001-39218</w:t>
      </w:r>
    </w:p>
    <w:p>
      <w:pPr>
        <w:spacing w:after="0" w:line="225" w:lineRule="exact"/>
        <w:rPr>
          <w:sz w:val="24"/>
          <w:szCs w:val="24"/>
          <w:color w:val="auto"/>
        </w:rPr>
      </w:pPr>
    </w:p>
    <w:p>
      <w:pPr>
        <w:ind w:left="3160" w:right="2979" w:hanging="189"/>
        <w:spacing w:after="0" w:line="278" w:lineRule="auto"/>
        <w:tabs>
          <w:tab w:leader="none" w:pos="3273"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Full title of the plan and the address of the plan, if different from that of</w:t>
      </w:r>
    </w:p>
    <w:p>
      <w:pPr>
        <w:spacing w:after="0" w:line="1" w:lineRule="exact"/>
        <w:rPr>
          <w:rFonts w:ascii="Times New Roman" w:cs="Times New Roman" w:eastAsia="Times New Roman" w:hAnsi="Times New Roman"/>
          <w:sz w:val="17"/>
          <w:szCs w:val="17"/>
          <w:b w:val="1"/>
          <w:bCs w:val="1"/>
          <w:color w:val="auto"/>
        </w:rPr>
      </w:pPr>
    </w:p>
    <w:p>
      <w:pPr>
        <w:ind w:left="3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the issuer named below:</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203" w:lineRule="exact"/>
        <w:rPr>
          <w:sz w:val="24"/>
          <w:szCs w:val="24"/>
          <w:color w:val="auto"/>
        </w:rPr>
      </w:pPr>
    </w:p>
    <w:p>
      <w:pPr>
        <w:ind w:left="3100" w:right="2999" w:hanging="118"/>
        <w:spacing w:after="0" w:line="278" w:lineRule="auto"/>
        <w:tabs>
          <w:tab w:leader="none" w:pos="327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 of issuer of the securities held pursuant to the plan and the address</w:t>
      </w:r>
    </w:p>
    <w:p>
      <w:pPr>
        <w:spacing w:after="0" w:line="1" w:lineRule="exact"/>
        <w:rPr>
          <w:rFonts w:ascii="Times New Roman" w:cs="Times New Roman" w:eastAsia="Times New Roman" w:hAnsi="Times New Roman"/>
          <w:sz w:val="17"/>
          <w:szCs w:val="17"/>
          <w:b w:val="1"/>
          <w:bCs w:val="1"/>
          <w:color w:val="auto"/>
        </w:rPr>
      </w:pPr>
    </w:p>
    <w:p>
      <w:pPr>
        <w:ind w:left="3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of its principal executive office: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11311 Concept Blvd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Largo, Florida 33773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1030605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254635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228600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20" w:type="dxa"/>
            <w:vAlign w:val="bottom"/>
            <w:gridSpan w:val="4"/>
          </w:tcPr>
          <w:p>
            <w:pPr>
              <w:ind w:left="15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8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29"/>
        </w:trPr>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1940" w:type="dxa"/>
            <w:vAlign w:val="bottom"/>
            <w:tcBorders>
              <w:top w:val="single" w:sz="8" w:color="0000FF"/>
            </w:tcBorders>
          </w:tcPr>
          <w:p>
            <w:pPr>
              <w:spacing w:after="0"/>
              <w:rPr>
                <w:sz w:val="19"/>
                <w:szCs w:val="19"/>
                <w:color w:val="auto"/>
              </w:rPr>
            </w:pPr>
          </w:p>
        </w:tc>
        <w:tc>
          <w:tcPr>
            <w:tcW w:w="19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7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8780" w:type="dxa"/>
            <w:vAlign w:val="bottom"/>
            <w:gridSpan w:val="8"/>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2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30"/>
        </w:trPr>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1940" w:type="dxa"/>
            <w:vAlign w:val="bottom"/>
            <w:tcBorders>
              <w:top w:val="single" w:sz="8" w:color="0000FF"/>
            </w:tcBorders>
          </w:tcPr>
          <w:p>
            <w:pPr>
              <w:spacing w:after="0"/>
              <w:rPr>
                <w:sz w:val="19"/>
                <w:szCs w:val="19"/>
                <w:color w:val="auto"/>
              </w:rPr>
            </w:pPr>
          </w:p>
        </w:tc>
        <w:tc>
          <w:tcPr>
            <w:tcW w:w="190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8780" w:type="dxa"/>
            <w:vAlign w:val="bottom"/>
            <w:gridSpan w:val="8"/>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2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30"/>
        </w:trPr>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1940" w:type="dxa"/>
            <w:vAlign w:val="bottom"/>
            <w:tcBorders>
              <w:top w:val="single" w:sz="8" w:color="0000FF"/>
            </w:tcBorders>
          </w:tcPr>
          <w:p>
            <w:pPr>
              <w:spacing w:after="0"/>
              <w:rPr>
                <w:sz w:val="19"/>
                <w:szCs w:val="19"/>
                <w:color w:val="auto"/>
              </w:rPr>
            </w:pPr>
          </w:p>
        </w:tc>
        <w:tc>
          <w:tcPr>
            <w:tcW w:w="190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8780" w:type="dxa"/>
            <w:vAlign w:val="bottom"/>
            <w:gridSpan w:val="8"/>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29"/>
        </w:trPr>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1940" w:type="dxa"/>
            <w:vAlign w:val="bottom"/>
            <w:tcBorders>
              <w:top w:val="single" w:sz="8" w:color="CCEEFF"/>
            </w:tcBorders>
          </w:tcPr>
          <w:p>
            <w:pPr>
              <w:spacing w:after="0"/>
              <w:rPr>
                <w:sz w:val="19"/>
                <w:szCs w:val="19"/>
                <w:color w:val="auto"/>
              </w:rPr>
            </w:pPr>
          </w:p>
        </w:tc>
        <w:tc>
          <w:tcPr>
            <w:tcW w:w="19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7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8780" w:type="dxa"/>
            <w:vAlign w:val="bottom"/>
            <w:gridSpan w:val="8"/>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 as of December 31, 2025</w:t>
            </w:r>
          </w:p>
        </w:tc>
        <w:tc>
          <w:tcPr>
            <w:tcW w:w="2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57"/>
        </w:trPr>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520" w:type="dxa"/>
            <w:vAlign w:val="bottom"/>
            <w:tcBorders>
              <w:top w:val="single" w:sz="8" w:color="0000FF"/>
            </w:tcBorders>
          </w:tcPr>
          <w:p>
            <w:pPr>
              <w:spacing w:after="0"/>
              <w:rPr>
                <w:sz w:val="22"/>
                <w:szCs w:val="22"/>
                <w:color w:val="auto"/>
              </w:rPr>
            </w:pPr>
          </w:p>
        </w:tc>
        <w:tc>
          <w:tcPr>
            <w:tcW w:w="1940" w:type="dxa"/>
            <w:vAlign w:val="bottom"/>
            <w:tcBorders>
              <w:top w:val="single" w:sz="8" w:color="0000FF"/>
            </w:tcBorders>
          </w:tcPr>
          <w:p>
            <w:pPr>
              <w:spacing w:after="0"/>
              <w:rPr>
                <w:sz w:val="22"/>
                <w:szCs w:val="22"/>
                <w:color w:val="auto"/>
              </w:rPr>
            </w:pPr>
          </w:p>
        </w:tc>
        <w:tc>
          <w:tcPr>
            <w:tcW w:w="19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580" w:type="dxa"/>
            <w:vAlign w:val="bottom"/>
            <w:tcBorders>
              <w:top w:val="single" w:sz="8" w:color="CCEEFF"/>
            </w:tcBorders>
          </w:tcPr>
          <w:p>
            <w:pPr>
              <w:spacing w:after="0"/>
              <w:rPr>
                <w:sz w:val="22"/>
                <w:szCs w:val="22"/>
                <w:color w:val="auto"/>
              </w:rPr>
            </w:pPr>
          </w:p>
        </w:tc>
        <w:tc>
          <w:tcPr>
            <w:tcW w:w="2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8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4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03" w:lineRule="exact"/>
        <w:rPr>
          <w:sz w:val="20"/>
          <w:szCs w:val="20"/>
          <w:color w:val="auto"/>
        </w:rPr>
      </w:pPr>
    </w:p>
    <w:p>
      <w:pPr>
        <w:ind w:left="260" w:right="40" w:hanging="234"/>
        <w:spacing w:after="0" w:line="250"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schedules required by 29 CFR 2520.103-10 of the Department of Labor’s Rules and Regulations for Reporting and Disclosure under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and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CONMED Corporation Retirement Savings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CONMED Corporation Retirement Savings Plan (the Plan) as of December 31, 2025 and 2024, the related statement of changes in net assets available for benefits for the year ended December 31, 2025, and the related notes to the financial statements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Insero &amp; Co. CPAs,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pacing w:after="0" w:line="2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22"/>
          <w:szCs w:val="22"/>
          <w:b w:val="1"/>
          <w:bCs w:val="1"/>
          <w:color w:val="auto"/>
        </w:rPr>
        <w:t>CONMED Corporation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Retirement Savings Plan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0"/>
        </w:trPr>
        <w:tc>
          <w:tcPr>
            <w:tcW w:w="3000" w:type="dxa"/>
            <w:vAlign w:val="bottom"/>
            <w:vMerge w:val="continue"/>
          </w:tcPr>
          <w:p>
            <w:pPr>
              <w:spacing w:after="0"/>
              <w:rPr>
                <w:sz w:val="19"/>
                <w:szCs w:val="19"/>
                <w:color w:val="auto"/>
              </w:rPr>
            </w:pPr>
          </w:p>
        </w:tc>
        <w:tc>
          <w:tcPr>
            <w:tcW w:w="4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379,879,535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336,728,803</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5,049,944</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Net Assets Available for Benefits</w:t>
            </w:r>
          </w:p>
        </w:tc>
        <w:tc>
          <w:tcPr>
            <w:tcW w:w="4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384,700,049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341,778,747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00" w:type="dxa"/>
            <w:vAlign w:val="bottom"/>
          </w:tcPr>
          <w:p>
            <w:pPr>
              <w:spacing w:after="0"/>
              <w:rPr>
                <w:sz w:val="24"/>
                <w:szCs w:val="24"/>
                <w:color w:val="auto"/>
              </w:rPr>
            </w:pPr>
          </w:p>
        </w:tc>
        <w:tc>
          <w:tcPr>
            <w:tcW w:w="6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CONMED Corporation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Retirement Savings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 of Changes in Net Assets Available for Benefits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Participants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Distributions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assets available for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0" w:hanging="999"/>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44,223,857</w:t>
      </w:r>
    </w:p>
    <w:p>
      <w:pPr>
        <w:spacing w:after="0" w:line="38"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13,529,600</w:t>
      </w:r>
    </w:p>
    <w:p>
      <w:pPr>
        <w:spacing w:after="0" w:line="34"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393,655</w:t>
      </w:r>
    </w:p>
    <w:p>
      <w:pPr>
        <w:spacing w:after="0" w:line="258"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17,976,901</w:t>
      </w:r>
    </w:p>
    <w:p>
      <w:pPr>
        <w:spacing w:after="0" w:line="38"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7,275,075</w:t>
      </w:r>
    </w:p>
    <w:p>
      <w:pPr>
        <w:spacing w:after="0" w:line="260"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83,399,088</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740,092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39,737,694</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40,477,786</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42,921,302</w:t>
      </w:r>
    </w:p>
    <w:p>
      <w:pPr>
        <w:spacing w:after="0" w:line="2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341,778,747</w:t>
      </w:r>
    </w:p>
    <w:p>
      <w:pPr>
        <w:spacing w:after="0" w:line="252" w:lineRule="exact"/>
        <w:rPr>
          <w:sz w:val="20"/>
          <w:szCs w:val="20"/>
          <w:color w:val="auto"/>
        </w:rPr>
      </w:pPr>
    </w:p>
    <w:p>
      <w:pPr>
        <w:ind w:left="900" w:hanging="89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384,700,049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200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1200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600" w:space="720"/>
            <w:col w:w="1800"/>
          </w:cols>
          <w:pgMar w:left="340" w:top="1013" w:right="439" w:bottom="1440" w:gutter="0" w:footer="0" w:header="0"/>
        </w:sectPr>
      </w:pP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13" w:right="439"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CONMED Corporation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Retirement Savings Plan</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Establishment and Description of Plan</w:t>
      </w:r>
    </w:p>
    <w:p>
      <w:pPr>
        <w:spacing w:after="0" w:line="256" w:lineRule="exact"/>
        <w:rPr>
          <w:sz w:val="20"/>
          <w:szCs w:val="20"/>
          <w:color w:val="auto"/>
        </w:rPr>
      </w:pPr>
    </w:p>
    <w:p>
      <w:pPr>
        <w:jc w:val="both"/>
        <w:ind w:firstLine="183"/>
        <w:spacing w:after="0" w:line="261" w:lineRule="auto"/>
        <w:rPr>
          <w:sz w:val="20"/>
          <w:szCs w:val="20"/>
          <w:color w:val="auto"/>
        </w:rPr>
      </w:pPr>
      <w:r>
        <w:rPr>
          <w:rFonts w:ascii="Times New Roman" w:cs="Times New Roman" w:eastAsia="Times New Roman" w:hAnsi="Times New Roman"/>
          <w:sz w:val="18"/>
          <w:szCs w:val="18"/>
          <w:color w:val="auto"/>
        </w:rPr>
        <w:t>Effective January 1992, CONMED Corporation (the "Company") established the CONMED Corporation Retirement Savings Plan (the "Plan"). The Plan is a defined contribution plan covering all employees of the Company and its subsidiaries who meet the service requirements set forth in the Plan document. The Plan is subject to the provisions of the Employee Retirement Income Security Act of 1974 ("ERISA"). The following brief description of the Plan is provided for general information purposes only. Participants should refer to the Plan agreement for more complete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Plan</w:t>
      </w:r>
    </w:p>
    <w:p>
      <w:pPr>
        <w:spacing w:after="0" w:line="229" w:lineRule="exact"/>
        <w:rPr>
          <w:sz w:val="20"/>
          <w:szCs w:val="20"/>
          <w:color w:val="auto"/>
        </w:rPr>
      </w:pPr>
    </w:p>
    <w:p>
      <w:pPr>
        <w:jc w:val="both"/>
        <w:ind w:firstLine="211"/>
        <w:spacing w:after="0" w:line="282" w:lineRule="auto"/>
        <w:rPr>
          <w:sz w:val="20"/>
          <w:szCs w:val="20"/>
          <w:color w:val="auto"/>
        </w:rPr>
      </w:pPr>
      <w:r>
        <w:rPr>
          <w:rFonts w:ascii="Times New Roman" w:cs="Times New Roman" w:eastAsia="Times New Roman" w:hAnsi="Times New Roman"/>
          <w:sz w:val="18"/>
          <w:szCs w:val="18"/>
          <w:color w:val="auto"/>
        </w:rPr>
        <w:t>The Company serves as Plan Administrator with full power, authority and responsibility to control and manage the operation and administration of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ind w:firstLine="226"/>
        <w:spacing w:after="0" w:line="246" w:lineRule="auto"/>
        <w:rPr>
          <w:sz w:val="20"/>
          <w:szCs w:val="20"/>
          <w:color w:val="auto"/>
        </w:rPr>
      </w:pPr>
      <w:r>
        <w:rPr>
          <w:rFonts w:ascii="Times New Roman" w:cs="Times New Roman" w:eastAsia="Times New Roman" w:hAnsi="Times New Roman"/>
          <w:sz w:val="18"/>
          <w:szCs w:val="18"/>
          <w:color w:val="auto"/>
        </w:rPr>
        <w:t>A participant can contribute 1 to 50 percent of his or her annual compensation, as defined, up to the maximum annual limitations as provided by the Internal Revenue Code (“IRC”). Participants who have attained age 50 before the end of the Plan year are eligible to make catch-up contributions. Participants may also contribute amounts representing distributions from other qualified plans. The Plan includes an auto-enrollment provision whereby all newly eligible employees, defined as having completed 90 days of employment, are automatically enrolled in the Plan unless they affirmatively elect not to participate in the Plan. Automatically enrolled participants have their deferral rate set at 3% of eligible compensation and their contribution invested in a designated balanced fund until changed by the participant. The pre-tax contribution of an employee who is contributing less than 7% of the employee’s annual compensation, as defined in the plan document, automatically increases annually in 1% increments until the employee’s pre-tax contribution election reaches 7% of annual compensation, provided the employee has not elected to opt-out of the automatic increase feature. Employees with an initial enrollment date between July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and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in a given plan year that have not elected to opt-out of this election will not be subject to this annual increase until the following plan year.</w:t>
      </w:r>
    </w:p>
    <w:p>
      <w:pPr>
        <w:spacing w:after="0" w:line="222" w:lineRule="exact"/>
        <w:rPr>
          <w:sz w:val="20"/>
          <w:szCs w:val="20"/>
          <w:color w:val="auto"/>
        </w:rPr>
      </w:pPr>
    </w:p>
    <w:p>
      <w:pPr>
        <w:jc w:val="both"/>
        <w:ind w:firstLine="198"/>
        <w:spacing w:after="0" w:line="258" w:lineRule="auto"/>
        <w:rPr>
          <w:sz w:val="20"/>
          <w:szCs w:val="20"/>
          <w:color w:val="auto"/>
        </w:rPr>
      </w:pPr>
      <w:r>
        <w:rPr>
          <w:rFonts w:ascii="Times New Roman" w:cs="Times New Roman" w:eastAsia="Times New Roman" w:hAnsi="Times New Roman"/>
          <w:sz w:val="18"/>
          <w:szCs w:val="18"/>
          <w:color w:val="auto"/>
        </w:rPr>
        <w:t>The Company matches 100% of each participant's contribution up to a maximum of 7% of participant compensation. The annual fixed Company match was capped at $7,000. Effective January 1, 2026, the Plan was amended to cap the annual fixed Company match at $10,000. The Company, in its sole discretion, may elect to make a discretionary matching contribution to the Plan. Forfeitures of terminated participants’ non-vested accounts are used to reduce employer contributions or to pay Plan expenses. Forfeitures reduced employer contributions by $1,792,124 in 2025. At December 31, 2025 and 2024, forfeited non-vested accounts totaled $312,001 and $141,228,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56"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A participant can allocate their account among various investment funds. Each participant's account is credited with the participant's contribution, the Company's contribution, and an allocation of the earnings and losses for the participant's particular investment funds and charged with withdrawals and an allocation of administrative expenses. The benefit to which a participant is entitled is the benefit that can be provided from the participant's vested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firstLine="234"/>
        <w:spacing w:after="0" w:line="282" w:lineRule="auto"/>
        <w:rPr>
          <w:sz w:val="20"/>
          <w:szCs w:val="20"/>
          <w:color w:val="auto"/>
        </w:rPr>
      </w:pPr>
      <w:r>
        <w:rPr>
          <w:rFonts w:ascii="Times New Roman" w:cs="Times New Roman" w:eastAsia="Times New Roman" w:hAnsi="Times New Roman"/>
          <w:sz w:val="18"/>
          <w:szCs w:val="18"/>
          <w:color w:val="auto"/>
        </w:rPr>
        <w:t>Each participant is immediately vested in his or her voluntary contributions plus earnings thereon. A participant vests at 20% per year of service and becomes fully vested in the remainder of his or her account upon the completion of five years of service.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29"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Participants are allowed to invest in a variety of investment choices as more fully described in the Plan literature. In addition, participants have access to a self-directed brokerage account. Through this account, a participant has access to investments including common stock, mutual funds, preferred stock, corporate bonds and money market funds. Participants may change their investment options on a daily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firstLine="172"/>
        <w:spacing w:after="0" w:line="258" w:lineRule="auto"/>
        <w:rPr>
          <w:sz w:val="20"/>
          <w:szCs w:val="20"/>
          <w:color w:val="auto"/>
        </w:rPr>
      </w:pPr>
      <w:r>
        <w:rPr>
          <w:rFonts w:ascii="Times New Roman" w:cs="Times New Roman" w:eastAsia="Times New Roman" w:hAnsi="Times New Roman"/>
          <w:sz w:val="18"/>
          <w:szCs w:val="18"/>
          <w:color w:val="auto"/>
        </w:rPr>
        <w:t>A participant may obtain a loan between $500 and $50,000, limited to 50 percent of his or her vested account balance. A participant is eligible to have up to two general loans at one time and one home loan outstanding for a combined total of three loans outstanding at any one time. Each loan bears interest at prime plus 1 percent and is secured by the balance in the participant's account. Repayment is required over a period not to exceed five years or up to fifteen years where the loan is for the purchase of a primary residence. Loan repayments are allocated among the investment options consistent with the participant's contribution investment election.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ind w:firstLine="299"/>
        <w:spacing w:after="0" w:line="266" w:lineRule="auto"/>
        <w:rPr>
          <w:sz w:val="20"/>
          <w:szCs w:val="20"/>
          <w:color w:val="auto"/>
        </w:rPr>
      </w:pPr>
      <w:r>
        <w:rPr>
          <w:rFonts w:ascii="Times New Roman" w:cs="Times New Roman" w:eastAsia="Times New Roman" w:hAnsi="Times New Roman"/>
          <w:sz w:val="18"/>
          <w:szCs w:val="18"/>
          <w:color w:val="auto"/>
        </w:rPr>
        <w:t>Participants or their beneficiaries are eligible to receive benefits under the Plan upon normal retirement, death, total and permanent disability or termination for any reason including those previously mentioned. The Plan also provides for withdrawals by participants prior to termination. Benefits are payable in accordance with the Plan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While the Company anticipates and believes that the Plan will continue, it reserves the right to discontinue the Plan subject to the provisions of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Plan termination, participants will become 100 percent vested in their accounts.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accounts of the Plan are maintained on the accrual basis of accounting in accordance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firstLine="191"/>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notes receivable from participants are reclassified as distributions based upon the terms of the Plan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29" w:lineRule="exact"/>
        <w:rPr>
          <w:sz w:val="20"/>
          <w:szCs w:val="20"/>
          <w:color w:val="auto"/>
        </w:rPr>
      </w:pPr>
    </w:p>
    <w:p>
      <w:pPr>
        <w:jc w:val="both"/>
        <w:ind w:firstLine="192"/>
        <w:spacing w:after="0" w:line="282"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w:t>
      </w:r>
    </w:p>
    <w:p>
      <w:pPr>
        <w:spacing w:after="0" w:line="162" w:lineRule="exact"/>
        <w:rPr>
          <w:sz w:val="20"/>
          <w:szCs w:val="20"/>
          <w:color w:val="auto"/>
        </w:rPr>
      </w:pPr>
    </w:p>
    <w:p>
      <w:pPr>
        <w:jc w:val="both"/>
        <w:ind w:firstLine="261"/>
        <w:spacing w:after="0" w:line="256" w:lineRule="auto"/>
        <w:rPr>
          <w:sz w:val="20"/>
          <w:szCs w:val="20"/>
          <w:color w:val="auto"/>
        </w:rPr>
      </w:pPr>
      <w:r>
        <w:rPr>
          <w:rFonts w:ascii="Times New Roman" w:cs="Times New Roman" w:eastAsia="Times New Roman" w:hAnsi="Times New Roman"/>
          <w:sz w:val="18"/>
          <w:szCs w:val="18"/>
          <w:color w:val="auto"/>
        </w:rPr>
        <w:t>The Financial Accounting Standards Board ("FASB") guidance defines fair value and establishes a framework for measuring fair value and related disclosure requirements. The FASB defines fair value as the exchange price that would be received for an asset or paid to transfer a liability (an exit price) in the principal or most advantageous market for the asset or liability in an orderly transaction. The framework requires an entity to maximize the use of observable inputs when measuring fair value. The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are unadjusted quoted prices for identical assets or liabilities in active markets that the Plan has the ability to access.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to the valuation methodology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25" w:lineRule="exact"/>
        <w:rPr>
          <w:sz w:val="20"/>
          <w:szCs w:val="20"/>
          <w:color w:val="auto"/>
        </w:rPr>
      </w:pPr>
    </w:p>
    <w:p>
      <w:pPr>
        <w:jc w:val="both"/>
        <w:ind w:right="20" w:firstLine="194"/>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89"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for investments measured at fair value. There have been no changes in the methodologies used at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Funds</w:t>
      </w:r>
    </w:p>
    <w:p>
      <w:pPr>
        <w:spacing w:after="0" w:line="227" w:lineRule="exact"/>
        <w:rPr>
          <w:sz w:val="20"/>
          <w:szCs w:val="20"/>
          <w:color w:val="auto"/>
        </w:rPr>
      </w:pPr>
    </w:p>
    <w:p>
      <w:pPr>
        <w:jc w:val="both"/>
        <w:ind w:firstLine="239"/>
        <w:spacing w:after="0" w:line="266" w:lineRule="auto"/>
        <w:rPr>
          <w:sz w:val="20"/>
          <w:szCs w:val="20"/>
          <w:color w:val="auto"/>
        </w:rPr>
      </w:pPr>
      <w:r>
        <w:rPr>
          <w:rFonts w:ascii="Times New Roman" w:cs="Times New Roman" w:eastAsia="Times New Roman" w:hAnsi="Times New Roman"/>
          <w:sz w:val="18"/>
          <w:szCs w:val="18"/>
          <w:color w:val="auto"/>
        </w:rPr>
        <w:t>These investments are public investment vehicles valued using the Net Asset Value (“NAV”) provided by the administrator of the fund. The NAV is based on the value of the underlying assets owned by the fund, minus its liabilities, and then divided by the number of shares outstanding. The NAV is a quoted price in an active market and classified within level 1 of the valuation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Self-directed Brokerage Account</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self-directed brokerage account consists primarily of common stock, mutual funds, preferred stock, corporate bonds and money market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preferred stock and corporate bonds are valued at the closing price reported on the investments' respective stock exchange or active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Mutual funds and money market funds are valued using NAV. All investments are classified within level 1 of the valuation hierarchy.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firstLine="205"/>
        <w:spacing w:after="0" w:line="282" w:lineRule="auto"/>
        <w:rPr>
          <w:sz w:val="20"/>
          <w:szCs w:val="20"/>
          <w:color w:val="auto"/>
        </w:rPr>
      </w:pPr>
      <w:r>
        <w:rPr>
          <w:rFonts w:ascii="Times New Roman" w:cs="Times New Roman" w:eastAsia="Times New Roman" w:hAnsi="Times New Roman"/>
          <w:sz w:val="18"/>
          <w:szCs w:val="18"/>
          <w:color w:val="auto"/>
        </w:rPr>
        <w:t>Common stock is valued at the closing price reported on the common stock’s respective stock exchange and is classified within level 1 of the valuation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These investments are public investment vehicles valued using NAV. The money market funds are classified within level 1 of the valuation hierarchy.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Investment Trusts</w:t>
      </w:r>
    </w:p>
    <w:p>
      <w:pPr>
        <w:spacing w:after="0" w:line="227" w:lineRule="exact"/>
        <w:rPr>
          <w:sz w:val="20"/>
          <w:szCs w:val="20"/>
          <w:color w:val="auto"/>
        </w:rPr>
      </w:pPr>
    </w:p>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Collective investment trusts (“CITs”) are valued at fair value when the trust’s NAV is published on a public stock market and classified within Level 2 of the valuation hierarchy. When the NAV is not published, the CIT’s unpublished NAV is used as a practical expedient to estimate fair value and is obtained from information provided by the investment advisor using the audited financial statements of the collective investment trusts at year end. Under the practical expedient, the investment is not classified in the valuation hierarchy.</w:t>
      </w:r>
    </w:p>
    <w:p>
      <w:pPr>
        <w:spacing w:after="0" w:line="180" w:lineRule="exact"/>
        <w:rPr>
          <w:sz w:val="20"/>
          <w:szCs w:val="20"/>
          <w:color w:val="auto"/>
        </w:rPr>
      </w:pPr>
    </w:p>
    <w:p>
      <w:pPr>
        <w:jc w:val="both"/>
        <w:ind w:firstLine="213"/>
        <w:spacing w:after="0" w:line="266"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investments, at fair value: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2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Investments, at Fair Value as of</w:t>
            </w:r>
          </w:p>
        </w:tc>
        <w:tc>
          <w:tcPr>
            <w:tcW w:w="1320" w:type="dxa"/>
            <w:vAlign w:val="bottom"/>
          </w:tcPr>
          <w:p>
            <w:pPr>
              <w:spacing w:after="0"/>
              <w:rPr>
                <w:sz w:val="19"/>
                <w:szCs w:val="19"/>
                <w:color w:val="auto"/>
              </w:rPr>
            </w:pPr>
          </w:p>
        </w:tc>
      </w:tr>
      <w:tr>
        <w:trPr>
          <w:trHeight w:val="238"/>
        </w:trPr>
        <w:tc>
          <w:tcPr>
            <w:tcW w:w="5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2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18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298,713,143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298,713,143</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16,174,892</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2,491,300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7,644,077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7,644,077</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36,842,007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36,842,007</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measured at fair value</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325,023,412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36,842,007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361,865,419</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measured at NAV as a practical expedient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18,014,116</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379,879,535</w:t>
            </w:r>
          </w:p>
        </w:tc>
      </w:tr>
      <w:tr>
        <w:trPr>
          <w:trHeight w:val="21"/>
        </w:trPr>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2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Investments, at Fair Value as of</w:t>
            </w:r>
          </w:p>
        </w:tc>
        <w:tc>
          <w:tcPr>
            <w:tcW w:w="1300" w:type="dxa"/>
            <w:vAlign w:val="bottom"/>
          </w:tcPr>
          <w:p>
            <w:pPr>
              <w:spacing w:after="0"/>
              <w:rPr>
                <w:sz w:val="19"/>
                <w:szCs w:val="19"/>
                <w:color w:val="auto"/>
              </w:rPr>
            </w:pPr>
          </w:p>
        </w:tc>
      </w:tr>
      <w:tr>
        <w:trPr>
          <w:trHeight w:val="238"/>
        </w:trPr>
        <w:tc>
          <w:tcPr>
            <w:tcW w:w="5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218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303,974,251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303,974,251</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12,329,390</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4,886,191</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7,894,825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measured at fair value</w:t>
            </w:r>
          </w:p>
        </w:tc>
        <w:tc>
          <w:tcPr>
            <w:tcW w:w="3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329,084,657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329,084,657</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measured at NAV as a practical expedient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7,644,146</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336,728,803</w:t>
            </w:r>
          </w:p>
        </w:tc>
      </w:tr>
      <w:tr>
        <w:trPr>
          <w:trHeight w:val="20"/>
        </w:trPr>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190"/>
        <w:spacing w:after="0" w:line="266" w:lineRule="auto"/>
        <w:tabs>
          <w:tab w:leader="none" w:pos="4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176" w:lineRule="exact"/>
        <w:rPr>
          <w:sz w:val="20"/>
          <w:szCs w:val="20"/>
          <w:color w:val="auto"/>
        </w:rPr>
      </w:pPr>
    </w:p>
    <w:p>
      <w:pPr>
        <w:ind w:firstLine="212"/>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Dividends are recorded on the ex-dividend date. Interest is recorded on the accrual basis. Net appreciation includes the Plan's gains and losses on investments bought and sold as well as held during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ind w:right="20" w:firstLine="194"/>
        <w:spacing w:after="0" w:line="282" w:lineRule="auto"/>
        <w:rPr>
          <w:sz w:val="20"/>
          <w:szCs w:val="20"/>
          <w:color w:val="auto"/>
        </w:rPr>
      </w:pPr>
      <w:r>
        <w:rPr>
          <w:rFonts w:ascii="Times New Roman" w:cs="Times New Roman" w:eastAsia="Times New Roman" w:hAnsi="Times New Roman"/>
          <w:sz w:val="18"/>
          <w:szCs w:val="18"/>
          <w:color w:val="auto"/>
        </w:rPr>
        <w:t>Participant contributions and matching employer contributions are recorded in the period during which the Company makes payroll deductions from the participants’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Plan’s administrative expenses are paid by either the Plan or the Plan’s Sponsor as defined in the Plan document.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Benefit payments to participants are recorded upon distribution.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0" w:firstLine="204"/>
        <w:spacing w:after="0" w:line="282" w:lineRule="auto"/>
        <w:rPr>
          <w:sz w:val="20"/>
          <w:szCs w:val="20"/>
          <w:color w:val="auto"/>
        </w:rPr>
      </w:pPr>
      <w:r>
        <w:rPr>
          <w:rFonts w:ascii="Times New Roman" w:cs="Times New Roman" w:eastAsia="Times New Roman" w:hAnsi="Times New Roman"/>
          <w:sz w:val="18"/>
          <w:szCs w:val="18"/>
          <w:color w:val="auto"/>
        </w:rPr>
        <w:t>The preparation of the Plan’s financial statements in conformity with accounting principles generally accepted in the United States of America requires management to make estimates and assumptions that affect the reported amounts of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and changes therein, and disclosures of contingent assets and liabilities. The Company is not aware of any specific events or circumstance that would require disclosure or an update to estimates or judgments or a revision of the carrying value of the Plan's assets or liabilities through June 16, 2026. Due to the inherent uncertainty involved in making estimates, actual results reported in future periods may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265"/>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Market risks include global events which could impact the value of investment securities, such as inflation, a pandemic or international conflict. Due to the level of risk associated with these investments, it is at least reasonably possible that changes in their values will occur in the near term and that such changes could materially affect participants’ account balances and the amounts reported in the Statements of Net Assets Available for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Income Tax Status</w:t>
      </w:r>
    </w:p>
    <w:p>
      <w:pPr>
        <w:spacing w:after="0" w:line="256" w:lineRule="exact"/>
        <w:rPr>
          <w:sz w:val="20"/>
          <w:szCs w:val="20"/>
          <w:color w:val="auto"/>
        </w:rPr>
      </w:pPr>
    </w:p>
    <w:p>
      <w:pPr>
        <w:jc w:val="both"/>
        <w:ind w:firstLine="203"/>
        <w:spacing w:after="0" w:line="261" w:lineRule="auto"/>
        <w:rPr>
          <w:sz w:val="20"/>
          <w:szCs w:val="20"/>
          <w:color w:val="auto"/>
        </w:rPr>
      </w:pPr>
      <w:r>
        <w:rPr>
          <w:rFonts w:ascii="Times New Roman" w:cs="Times New Roman" w:eastAsia="Times New Roman" w:hAnsi="Times New Roman"/>
          <w:sz w:val="18"/>
          <w:szCs w:val="18"/>
          <w:color w:val="auto"/>
        </w:rPr>
        <w:t>The trust established under the Plan to hold the Plan’s assets is qualified pursuant to the appropriate section of the IRC, and, accordingly, the trust’s net investment income is exempt from income taxes. The Plan has obtained a favorable tax determination letter, dated August 2, 2017, from the Internal Revenue Service (“IRS”). The Plan Administrator and the Plan’s tax counsel believe that the Plan, as amended, is designed, and is currently being operated, in compliance with the applicable requirements of the IRC.</w:t>
      </w:r>
    </w:p>
    <w:p>
      <w:pPr>
        <w:spacing w:after="0" w:line="180" w:lineRule="exact"/>
        <w:rPr>
          <w:sz w:val="20"/>
          <w:szCs w:val="20"/>
          <w:color w:val="auto"/>
        </w:rPr>
      </w:pPr>
    </w:p>
    <w:p>
      <w:pPr>
        <w:jc w:val="both"/>
        <w:ind w:firstLine="250"/>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Transactions with Parties-in-Interest</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December 31, 2025 and 2024, the Plan held certain securities issued by the Company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27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4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Pr>
          <w:p>
            <w:pPr>
              <w:spacing w:after="0"/>
              <w:rPr>
                <w:sz w:val="14"/>
                <w:szCs w:val="14"/>
                <w:color w:val="auto"/>
              </w:rPr>
            </w:pPr>
          </w:p>
        </w:tc>
        <w:tc>
          <w:tcPr>
            <w:tcW w:w="11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Pr>
          <w:p>
            <w:pPr>
              <w:spacing w:after="0"/>
              <w:rPr>
                <w:sz w:val="14"/>
                <w:szCs w:val="14"/>
                <w:color w:val="auto"/>
              </w:rPr>
            </w:pP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of</w:t>
            </w:r>
          </w:p>
        </w:tc>
        <w:tc>
          <w:tcPr>
            <w:tcW w:w="2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0"/>
                <w:szCs w:val="20"/>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CONMED Corporation</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4,886,191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216"/>
        <w:spacing w:after="0" w:line="282" w:lineRule="auto"/>
        <w:rPr>
          <w:sz w:val="20"/>
          <w:szCs w:val="20"/>
          <w:color w:val="auto"/>
        </w:rPr>
      </w:pPr>
      <w:r>
        <w:rPr>
          <w:rFonts w:ascii="Times New Roman" w:cs="Times New Roman" w:eastAsia="Times New Roman" w:hAnsi="Times New Roman"/>
          <w:sz w:val="18"/>
          <w:szCs w:val="18"/>
          <w:color w:val="auto"/>
        </w:rPr>
        <w:t>In addition, certain assets of the Plan are invested in funds managed by Fidelity Management Trust Company ("Fidelity"). Fidelity is the trustee of the Plan and, therefore, is considered to be a party-in-interest. Notes receivable from participants also qualify as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CONMED Corporation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Retirement Savings Plan</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EIN: 16-0977505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Number: 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Identity of Issue/Description of Investment</w:t>
            </w:r>
          </w:p>
        </w:tc>
        <w:tc>
          <w:tcPr>
            <w:tcW w:w="640" w:type="dxa"/>
            <w:vAlign w:val="bottom"/>
          </w:tcPr>
          <w:p>
            <w:pPr>
              <w:spacing w:after="0"/>
              <w:rPr>
                <w:sz w:val="20"/>
                <w:szCs w:val="20"/>
                <w:color w:val="auto"/>
              </w:rPr>
            </w:pPr>
          </w:p>
        </w:tc>
        <w:tc>
          <w:tcPr>
            <w:tcW w:w="238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7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500 Index Fund**</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60,265,499</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2045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27,401,429</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2040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26,565,892</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Contrafund - Class K**</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26,487,069</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2035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25,668,275</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2050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22,534,823</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2030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19,522,532</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2055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17,398,038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Janus Henderson Enterprise Collective Fund Class III</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16,589,884</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Participant - Directed Brokerage Link Account</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16,174,892</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2025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14,765,811</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2060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13,151,058</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Hancock Disciplined Value Mid Cap Trust Class B5</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10,588,966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Putnam Large Cap Value Trust IA</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10,562,568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Government Money Market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7,642,655</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Diversified International Fund - Class K**</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7,540,974</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Hancock Core Plus Fixed Income Trust Class I2</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7,105,286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Global ex U.S. Index Fund**</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6,829,533</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Managed Income Portfolio - Class 1**</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6,745,058</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2020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5,486,841</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U.S. Bond Index Fund**</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5,405,252</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Extended Market Index Fund**</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5,093,126</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2065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4,154,509</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Emerging Markets Fund - Class K**</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3,481,110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 Small Cap Value GG Trust CIT Class R</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2,557,871</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CONMED Corporation Common Stock **</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2,491,300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 Morgan U.S. Small Company Fund Class R6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2,483,790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PIMCO Income Fund Institutional Class</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1,762,825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Retirement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948,184</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2015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946,390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Putnam Stable Value Fund</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706,490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2010 Fund - Class K6**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Freedom 2070 Fund - Class K6**</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Invesco Discovery Fund Class R6</w:t>
            </w:r>
          </w:p>
        </w:tc>
        <w:tc>
          <w:tcPr>
            <w:tcW w:w="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80,052</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 Accounts</w:t>
            </w:r>
          </w:p>
        </w:tc>
        <w:tc>
          <w:tcPr>
            <w:tcW w:w="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95"/>
        </w:trPr>
        <w:tc>
          <w:tcPr>
            <w:tcW w:w="7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4"/>
        </w:trPr>
        <w:tc>
          <w:tcPr>
            <w:tcW w:w="8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Notes receivable from participants, interest rates from</w:t>
            </w:r>
          </w:p>
        </w:tc>
        <w:tc>
          <w:tcPr>
            <w:tcW w:w="6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23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4.25% to 9.50% and maturities from 2026 to 2040**</w:t>
            </w:r>
          </w:p>
        </w:tc>
        <w:tc>
          <w:tcPr>
            <w:tcW w:w="64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4,820,514</w:t>
            </w:r>
          </w:p>
        </w:tc>
      </w:tr>
      <w:tr>
        <w:trPr>
          <w:trHeight w:val="75"/>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380" w:type="dxa"/>
            <w:vAlign w:val="bottom"/>
          </w:tcPr>
          <w:p>
            <w:pPr>
              <w:spacing w:after="0"/>
              <w:rPr>
                <w:sz w:val="6"/>
                <w:szCs w:val="6"/>
                <w:color w:val="auto"/>
              </w:rPr>
            </w:pPr>
          </w:p>
        </w:tc>
      </w:tr>
      <w:tr>
        <w:trPr>
          <w:trHeight w:val="254"/>
        </w:trPr>
        <w:tc>
          <w:tcPr>
            <w:tcW w:w="7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384,700,049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Denotes party-in-interest</w:t>
      </w:r>
    </w:p>
    <w:p>
      <w:pPr>
        <w:sectPr>
          <w:pgSz w:w="11900" w:h="16838" w:orient="portrait"/>
          <w:cols w:equalWidth="0" w:num="1">
            <w:col w:w="11200"/>
          </w:cols>
          <w:pgMar w:left="320" w:top="10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has duly caused this Annual Report to be signed by the undersigned hereunto duly authorized.</w:t>
      </w:r>
    </w:p>
    <w:p>
      <w:pPr>
        <w:spacing w:after="0" w:line="2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CONMED CORPORATION</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Retirement Savings Plan</w:t>
      </w:r>
    </w:p>
    <w:p>
      <w:pPr>
        <w:spacing w:after="0" w:line="247"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J. Beyer</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J. Beyer</w:t>
            </w:r>
          </w:p>
        </w:tc>
      </w:tr>
      <w:tr>
        <w:trPr>
          <w:trHeight w:val="180"/>
        </w:trPr>
        <w:tc>
          <w:tcPr>
            <w:tcW w:w="720" w:type="dxa"/>
            <w:vAlign w:val="bottom"/>
          </w:tcPr>
          <w:p>
            <w:pPr>
              <w:spacing w:after="0"/>
              <w:rPr>
                <w:sz w:val="15"/>
                <w:szCs w:val="15"/>
                <w:color w:val="auto"/>
              </w:rPr>
            </w:pPr>
          </w:p>
        </w:tc>
        <w:tc>
          <w:tcPr>
            <w:tcW w:w="5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2026-06-16T15:36:27Z</dcterms:created>
  <dcterms:modified xsi:type="dcterms:W3CDTF">2026-06-16T15:36:27Z</dcterms:modified>
</cp:coreProperties>
</file>