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 10-Q </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18"/>
        </w:rPr>
        <w:t>QUARTERLY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18"/>
        </w:rPr>
        <w:t>TRANSITION REPORT PURSUANT TO SECTION 13 OR 15(d) OF THE SECURITIES EXCHANGE ACT OF 1934</w:t>
      </w:r>
    </w:p>
    <w:tbl>
      <w:tblPr>
        <w:tblW w:w="4260" w:type="dxa"/>
        <w:jc w:val="center"/>
        <w:tblInd w:w="0" w:type="dxa"/>
        <w:tblLayout w:type="fixed"/>
        <w:tblCellMar>
          <w:top w:w="28" w:type="dxa"/>
          <w:left w:w="28" w:type="dxa"/>
          <w:bottom w:w="28" w:type="dxa"/>
          <w:right w:w="28" w:type="dxa"/>
        </w:tblCellMar>
      </w:tblPr>
      <w:tblGrid>
        <w:gridCol w:w="820"/>
        <w:gridCol w:w="721"/>
        <w:gridCol w:w="724"/>
        <w:gridCol w:w="583"/>
        <w:gridCol w:w="583"/>
        <w:gridCol w:w="829"/>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001-39218</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CONMED CORPORATION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the registrant as specified in its charter)</w:t>
      </w:r>
    </w:p>
    <w:tbl>
      <w:tblPr>
        <w:tblW w:w="7223" w:type="dxa"/>
        <w:jc w:val="left"/>
        <w:tblInd w:w="0" w:type="dxa"/>
        <w:tblLayout w:type="fixed"/>
        <w:tblCellMar>
          <w:top w:w="28" w:type="dxa"/>
          <w:left w:w="28" w:type="dxa"/>
          <w:bottom w:w="28" w:type="dxa"/>
          <w:right w:w="28" w:type="dxa"/>
        </w:tblCellMar>
      </w:tblPr>
      <w:tblGrid>
        <w:gridCol w:w="604"/>
        <w:gridCol w:w="530"/>
        <w:gridCol w:w="530"/>
        <w:gridCol w:w="470"/>
        <w:gridCol w:w="470"/>
        <w:gridCol w:w="470"/>
        <w:gridCol w:w="470"/>
        <w:gridCol w:w="470"/>
        <w:gridCol w:w="494"/>
        <w:gridCol w:w="791"/>
        <w:gridCol w:w="791"/>
        <w:gridCol w:w="1133"/>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16-0977505</w:t>
            </w:r>
          </w:p>
        </w:tc>
      </w:tr>
      <w:tr>
        <w:trPr/>
        <w:tc>
          <w:tcPr>
            <w:tcW w:w="4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11311 Concept Blvd</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Largo,</w:t>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Florida</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33773</w:t>
            </w:r>
          </w:p>
        </w:tc>
      </w:tr>
      <w:tr>
        <w:trPr/>
        <w:tc>
          <w:tcPr>
            <w:tcW w:w="4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(727) 392-6464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942" w:type="dxa"/>
        <w:jc w:val="center"/>
        <w:tblInd w:w="0" w:type="dxa"/>
        <w:tblLayout w:type="fixed"/>
        <w:tblCellMar>
          <w:top w:w="28" w:type="dxa"/>
          <w:left w:w="28" w:type="dxa"/>
          <w:bottom w:w="28" w:type="dxa"/>
          <w:right w:w="28" w:type="dxa"/>
        </w:tblCellMar>
      </w:tblPr>
      <w:tblGrid>
        <w:gridCol w:w="870"/>
        <w:gridCol w:w="767"/>
        <w:gridCol w:w="777"/>
        <w:gridCol w:w="419"/>
        <w:gridCol w:w="419"/>
        <w:gridCol w:w="421"/>
        <w:gridCol w:w="956"/>
        <w:gridCol w:w="956"/>
        <w:gridCol w:w="1357"/>
      </w:tblGrid>
      <w:tr>
        <w:trPr/>
        <w:tc>
          <w:tcPr>
            <w:tcW w:w="8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CNMD</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NYSE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Large accelerated filer </w:t>
      </w:r>
      <w:r>
        <w:rPr>
          <w:color w:val="000000"/>
        </w:rPr>
        <w:t>☒    </w:t>
      </w:r>
      <w:r>
        <w:rPr>
          <w:rFonts w:ascii="Times New Roman;serif" w:hAnsi="Times New Roman;serif"/>
          <w:b w:val="false"/>
          <w:color w:val="000000"/>
          <w:sz w:val="18"/>
        </w:rPr>
        <w:t xml:space="preserve">Accelerated filer </w:t>
      </w:r>
      <w:r>
        <w:rPr>
          <w:color w:val="000000"/>
        </w:rPr>
        <w:t>☐    </w:t>
      </w:r>
      <w:r>
        <w:rPr>
          <w:rFonts w:ascii="Times New Roman;serif" w:hAnsi="Times New Roman;serif"/>
          <w:b w:val="false"/>
          <w:color w:val="000000"/>
          <w:sz w:val="18"/>
        </w:rPr>
        <w:t xml:space="preserve">Non-accelerated filer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Smaller reporting company </w:t>
      </w:r>
      <w:r>
        <w:rPr>
          <w:color w:val="000000"/>
        </w:rPr>
        <w:t>☐    </w:t>
      </w:r>
      <w:r>
        <w:rPr>
          <w:rFonts w:ascii="Times New Roman;serif" w:hAnsi="Times New Roman;serif"/>
          <w:b w:val="false"/>
          <w:color w:val="000000"/>
          <w:sz w:val="18"/>
        </w:rPr>
        <w:t xml:space="preserve">Emerging growth company </w:t>
      </w:r>
      <w:r>
        <w:rPr>
          <w:color w:val="000000"/>
        </w:rPr>
        <w:t xml:space="preserve">☐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88" w:before="0" w:after="0"/>
        <w:jc w:val="both"/>
        <w:rPr/>
      </w:pP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number of shares outstanding of registrant's common stock, as of July 27, 2026 is 29,951,248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CONMED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tbl>
      <w:tblPr>
        <w:tblW w:w="10205" w:type="dxa"/>
        <w:jc w:val="left"/>
        <w:tblInd w:w="0" w:type="dxa"/>
        <w:tblLayout w:type="fixed"/>
        <w:tblCellMar>
          <w:top w:w="28" w:type="dxa"/>
          <w:left w:w="28" w:type="dxa"/>
          <w:bottom w:w="28" w:type="dxa"/>
          <w:right w:w="28" w:type="dxa"/>
        </w:tblCellMar>
      </w:tblPr>
      <w:tblGrid>
        <w:gridCol w:w="439"/>
        <w:gridCol w:w="357"/>
        <w:gridCol w:w="338"/>
        <w:gridCol w:w="2743"/>
        <w:gridCol w:w="2644"/>
        <w:gridCol w:w="2625"/>
        <w:gridCol w:w="306"/>
        <w:gridCol w:w="306"/>
        <w:gridCol w:w="447"/>
      </w:tblGrid>
      <w:tr>
        <w:trPr/>
        <w:tc>
          <w:tcPr>
            <w:tcW w:w="43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Number</w:t>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3">
              <w:r>
                <w:rPr>
                  <w:rStyle w:val="InternetLink"/>
                  <w:rFonts w:ascii="Times New Roman;serif" w:hAnsi="Times New Roman;serif"/>
                  <w:b/>
                  <w:color w:val="0000FF"/>
                  <w:sz w:val="20"/>
                  <w:u w:val="single"/>
                </w:rPr>
                <w:t>Item 1.</w:t>
              </w:r>
            </w:hyperlink>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3">
              <w:r>
                <w:rPr>
                  <w:rStyle w:val="InternetLink"/>
                  <w:rFonts w:ascii="Times New Roman;serif" w:hAnsi="Times New Roman;serif"/>
                  <w:b w:val="false"/>
                  <w:color w:val="0000FF"/>
                  <w:sz w:val="20"/>
                  <w:u w:val="single"/>
                </w:rPr>
                <w:t>Financial Statements (unaudited)</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6">
              <w:r>
                <w:rPr>
                  <w:rStyle w:val="InternetLink"/>
                  <w:color w:val="0000FF"/>
                  <w:u w:val="single"/>
                </w:rPr>
                <w:t xml:space="preserve">– </w:t>
              </w:r>
            </w:hyperlink>
            <w:hyperlink w:anchor="i9a204bd7814942659e1a1e57b666ce53_16">
              <w:r>
                <w:rPr>
                  <w:rStyle w:val="InternetLink"/>
                  <w:rFonts w:ascii="Times New Roman;serif" w:hAnsi="Times New Roman;serif"/>
                  <w:b w:val="false"/>
                  <w:color w:val="0000FF"/>
                  <w:sz w:val="20"/>
                  <w:u w:val="single"/>
                </w:rPr>
                <w:t>Consolidated Condensed Statements of Comprehensive Income for the three and six months ended June 30, 2026 and 2025</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16">
              <w:r>
                <w:rPr>
                  <w:rStyle w:val="InternetLink"/>
                  <w:rFonts w:ascii="Times New Roman;serif" w:hAnsi="Times New Roman;serif"/>
                  <w:b/>
                  <w:color w:val="0000FF"/>
                  <w:sz w:val="20"/>
                  <w:u w:val="single"/>
                </w:rPr>
                <w:t>1</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9">
              <w:r>
                <w:rPr>
                  <w:rStyle w:val="InternetLink"/>
                  <w:color w:val="0000FF"/>
                  <w:u w:val="single"/>
                </w:rPr>
                <w:t xml:space="preserve">– </w:t>
              </w:r>
            </w:hyperlink>
            <w:hyperlink w:anchor="i9a204bd7814942659e1a1e57b666ce53_19">
              <w:r>
                <w:rPr>
                  <w:rStyle w:val="InternetLink"/>
                  <w:rFonts w:ascii="Times New Roman;serif" w:hAnsi="Times New Roman;serif"/>
                  <w:b w:val="false"/>
                  <w:color w:val="0000FF"/>
                  <w:sz w:val="20"/>
                  <w:u w:val="single"/>
                </w:rPr>
                <w:t>Consolidated Condensed Balance Sheets as of June 30, 2026 and December 31, 2025</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19">
              <w:r>
                <w:rPr>
                  <w:rStyle w:val="InternetLink"/>
                  <w:rFonts w:ascii="Times New Roman;serif" w:hAnsi="Times New Roman;serif"/>
                  <w:b/>
                  <w:color w:val="0000FF"/>
                  <w:sz w:val="20"/>
                  <w:u w:val="single"/>
                </w:rPr>
                <w:t>2</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22">
              <w:r>
                <w:rPr>
                  <w:rStyle w:val="InternetLink"/>
                  <w:color w:val="0000FF"/>
                  <w:u w:val="single"/>
                </w:rPr>
                <w:t xml:space="preserve">– </w:t>
              </w:r>
            </w:hyperlink>
            <w:hyperlink w:anchor="i9a204bd7814942659e1a1e57b666ce53_22">
              <w:r>
                <w:rPr>
                  <w:rStyle w:val="InternetLink"/>
                  <w:rFonts w:ascii="Times New Roman;serif" w:hAnsi="Times New Roman;serif"/>
                  <w:b w:val="false"/>
                  <w:color w:val="0000FF"/>
                  <w:sz w:val="20"/>
                  <w:u w:val="single"/>
                </w:rPr>
                <w:t>Consolidated Condensed Statements of Shareholders' Equity for the three and six months ended June 30, 2026 and 2025</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22">
              <w:r>
                <w:rPr>
                  <w:rStyle w:val="InternetLink"/>
                  <w:rFonts w:ascii="Times New Roman;serif" w:hAnsi="Times New Roman;serif"/>
                  <w:b/>
                  <w:color w:val="0000FF"/>
                  <w:sz w:val="20"/>
                  <w:u w:val="single"/>
                </w:rPr>
                <w:t>3</w:t>
              </w:r>
            </w:hyperlink>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25">
              <w:r>
                <w:rPr>
                  <w:rStyle w:val="InternetLink"/>
                  <w:color w:val="0000FF"/>
                  <w:u w:val="single"/>
                </w:rPr>
                <w:t xml:space="preserve">– </w:t>
              </w:r>
            </w:hyperlink>
            <w:hyperlink w:anchor="i9a204bd7814942659e1a1e57b666ce53_25">
              <w:r>
                <w:rPr>
                  <w:rStyle w:val="InternetLink"/>
                  <w:rFonts w:ascii="Times New Roman;serif" w:hAnsi="Times New Roman;serif"/>
                  <w:b w:val="false"/>
                  <w:color w:val="0000FF"/>
                  <w:sz w:val="20"/>
                  <w:u w:val="single"/>
                </w:rPr>
                <w:t xml:space="preserve">Consolidated Condensed Statements of Cash Flows for the </w:t>
              </w:r>
            </w:hyperlink>
            <w:hyperlink w:anchor="i9a204bd7814942659e1a1e57b666ce53_25">
              <w:r>
                <w:rPr>
                  <w:rStyle w:val="InternetLink"/>
                  <w:rFonts w:ascii="Times New Roman;serif" w:hAnsi="Times New Roman;serif"/>
                  <w:b w:val="false"/>
                  <w:color w:val="000080"/>
                  <w:sz w:val="20"/>
                  <w:u w:val="single"/>
                </w:rPr>
                <w:t>six months ended June 30, 2026 and 2025</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25">
              <w:r>
                <w:rPr>
                  <w:rStyle w:val="InternetLink"/>
                  <w:rFonts w:ascii="Times New Roman;serif" w:hAnsi="Times New Roman;serif"/>
                  <w:b/>
                  <w:color w:val="0000FF"/>
                  <w:sz w:val="20"/>
                  <w:u w:val="single"/>
                </w:rPr>
                <w:t>4</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28">
              <w:r>
                <w:rPr>
                  <w:rStyle w:val="InternetLink"/>
                  <w:color w:val="0000FF"/>
                  <w:u w:val="single"/>
                </w:rPr>
                <w:t xml:space="preserve">– </w:t>
              </w:r>
            </w:hyperlink>
            <w:hyperlink w:anchor="i9a204bd7814942659e1a1e57b666ce53_28">
              <w:r>
                <w:rPr>
                  <w:rStyle w:val="InternetLink"/>
                  <w:rFonts w:ascii="Times New Roman;serif" w:hAnsi="Times New Roman;serif"/>
                  <w:b w:val="false"/>
                  <w:color w:val="0000FF"/>
                  <w:sz w:val="20"/>
                  <w:u w:val="single"/>
                </w:rPr>
                <w:t>Notes to Consolidated Condensed Financial Statements</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28">
              <w:r>
                <w:rPr>
                  <w:rStyle w:val="InternetLink"/>
                  <w:rFonts w:ascii="Times New Roman;serif" w:hAnsi="Times New Roman;serif"/>
                  <w:b/>
                  <w:color w:val="0000FF"/>
                  <w:sz w:val="20"/>
                  <w:u w:val="single"/>
                </w:rPr>
                <w:t>5</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76">
              <w:r>
                <w:rPr>
                  <w:rStyle w:val="InternetLink"/>
                  <w:rFonts w:ascii="Times New Roman;serif" w:hAnsi="Times New Roman;serif"/>
                  <w:b/>
                  <w:color w:val="0000FF"/>
                  <w:sz w:val="20"/>
                  <w:u w:val="single"/>
                </w:rPr>
                <w:t>Item 2.</w:t>
              </w:r>
            </w:hyperlink>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76">
              <w:r>
                <w:rPr>
                  <w:rStyle w:val="InternetLink"/>
                  <w:rFonts w:ascii="Times New Roman;serif" w:hAnsi="Times New Roman;serif"/>
                  <w:b/>
                  <w:color w:val="0000FF"/>
                  <w:sz w:val="20"/>
                  <w:u w:val="single"/>
                </w:rPr>
                <w:t>20</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85">
              <w:r>
                <w:rPr>
                  <w:rStyle w:val="InternetLink"/>
                  <w:rFonts w:ascii="Times New Roman;serif" w:hAnsi="Times New Roman;serif"/>
                  <w:b/>
                  <w:color w:val="0000FF"/>
                  <w:sz w:val="20"/>
                  <w:u w:val="single"/>
                </w:rPr>
                <w:t>Item 3.</w:t>
              </w:r>
            </w:hyperlink>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85">
              <w:r>
                <w:rPr>
                  <w:rStyle w:val="InternetLink"/>
                  <w:rFonts w:ascii="Times New Roman;serif" w:hAnsi="Times New Roman;serif"/>
                  <w:b w:val="false"/>
                  <w:color w:val="0000FF"/>
                  <w:sz w:val="20"/>
                  <w:u w:val="single"/>
                </w:rPr>
                <w:t>Quantitative and Qualitative Disclosures About Market Risk </w:t>
              </w:r>
            </w:hyperlink>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85">
              <w:r>
                <w:rPr>
                  <w:rStyle w:val="InternetLink"/>
                  <w:rFonts w:ascii="Times New Roman;serif" w:hAnsi="Times New Roman;serif"/>
                  <w:b/>
                  <w:color w:val="0000FF"/>
                  <w:sz w:val="20"/>
                  <w:u w:val="single"/>
                </w:rPr>
                <w:t>27</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88">
              <w:r>
                <w:rPr>
                  <w:rStyle w:val="InternetLink"/>
                  <w:rFonts w:ascii="Times New Roman;serif" w:hAnsi="Times New Roman;serif"/>
                  <w:b/>
                  <w:color w:val="0000FF"/>
                  <w:sz w:val="20"/>
                  <w:u w:val="single"/>
                </w:rPr>
                <w:t>Item 4.</w:t>
              </w:r>
            </w:hyperlink>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88">
              <w:r>
                <w:rPr>
                  <w:rStyle w:val="InternetLink"/>
                  <w:rFonts w:ascii="Times New Roman;serif" w:hAnsi="Times New Roman;serif"/>
                  <w:b w:val="false"/>
                  <w:color w:val="0000FF"/>
                  <w:sz w:val="20"/>
                  <w:u w:val="single"/>
                </w:rPr>
                <w:t>Controls and Procedures</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88">
              <w:r>
                <w:rPr>
                  <w:rStyle w:val="InternetLink"/>
                  <w:rFonts w:ascii="Times New Roman;serif" w:hAnsi="Times New Roman;serif"/>
                  <w:b/>
                  <w:color w:val="0000FF"/>
                  <w:sz w:val="20"/>
                  <w:u w:val="single"/>
                </w:rPr>
                <w:t>28</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94">
              <w:r>
                <w:rPr>
                  <w:rStyle w:val="InternetLink"/>
                  <w:rFonts w:ascii="Times New Roman;serif" w:hAnsi="Times New Roman;serif"/>
                  <w:b/>
                  <w:color w:val="0000FF"/>
                  <w:sz w:val="20"/>
                  <w:u w:val="single"/>
                </w:rPr>
                <w:t>Item 1.</w:t>
              </w:r>
            </w:hyperlink>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94">
              <w:r>
                <w:rPr>
                  <w:rStyle w:val="InternetLink"/>
                  <w:rFonts w:ascii="Times New Roman;serif" w:hAnsi="Times New Roman;serif"/>
                  <w:b w:val="false"/>
                  <w:color w:val="0000FF"/>
                  <w:sz w:val="20"/>
                  <w:u w:val="single"/>
                </w:rPr>
                <w:t>Legal Proceedings</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94">
              <w:r>
                <w:rPr>
                  <w:rStyle w:val="InternetLink"/>
                  <w:rFonts w:ascii="Times New Roman;serif" w:hAnsi="Times New Roman;serif"/>
                  <w:b/>
                  <w:color w:val="0000FF"/>
                  <w:sz w:val="20"/>
                  <w:u w:val="single"/>
                </w:rPr>
                <w:t>28</w:t>
              </w:r>
            </w:hyperlink>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97">
              <w:r>
                <w:rPr>
                  <w:rStyle w:val="InternetLink"/>
                  <w:rFonts w:ascii="Times New Roman;serif" w:hAnsi="Times New Roman;serif"/>
                  <w:b/>
                  <w:color w:val="0000FF"/>
                  <w:sz w:val="20"/>
                  <w:u w:val="single"/>
                </w:rPr>
                <w:t>Item 2.</w:t>
              </w:r>
            </w:hyperlink>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97">
              <w:r>
                <w:rPr>
                  <w:rStyle w:val="InternetLink"/>
                  <w:rFonts w:ascii="Times New Roman;serif" w:hAnsi="Times New Roman;serif"/>
                  <w:b w:val="false"/>
                  <w:color w:val="0000FF"/>
                  <w:sz w:val="20"/>
                  <w:u w:val="single"/>
                </w:rPr>
                <w:t>Unregistered Sales of Equity Securities and Use of Proceeds</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97">
              <w:r>
                <w:rPr>
                  <w:rStyle w:val="InternetLink"/>
                  <w:rFonts w:ascii="Times New Roman;serif" w:hAnsi="Times New Roman;serif"/>
                  <w:b/>
                  <w:color w:val="0000FF"/>
                  <w:sz w:val="20"/>
                  <w:u w:val="single"/>
                </w:rPr>
                <w:t>28</w:t>
              </w:r>
            </w:hyperlink>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00">
              <w:r>
                <w:rPr>
                  <w:rStyle w:val="InternetLink"/>
                  <w:rFonts w:ascii="Times New Roman;serif" w:hAnsi="Times New Roman;serif"/>
                  <w:b/>
                  <w:color w:val="0000FF"/>
                  <w:sz w:val="20"/>
                  <w:u w:val="single"/>
                </w:rPr>
                <w:t>Item 5.</w:t>
              </w:r>
            </w:hyperlink>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00">
              <w:r>
                <w:rPr>
                  <w:rStyle w:val="InternetLink"/>
                  <w:rFonts w:ascii="Times New Roman;serif" w:hAnsi="Times New Roman;serif"/>
                  <w:b w:val="false"/>
                  <w:color w:val="0000FF"/>
                  <w:sz w:val="20"/>
                  <w:u w:val="single"/>
                </w:rPr>
                <w:t>Other Information</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100">
              <w:r>
                <w:rPr>
                  <w:rStyle w:val="InternetLink"/>
                  <w:rFonts w:ascii="Times New Roman;serif" w:hAnsi="Times New Roman;serif"/>
                  <w:b/>
                  <w:color w:val="0000FF"/>
                  <w:sz w:val="20"/>
                  <w:u w:val="single"/>
                </w:rPr>
                <w:t>29</w:t>
              </w:r>
            </w:hyperlink>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09">
              <w:r>
                <w:rPr>
                  <w:rStyle w:val="InternetLink"/>
                  <w:rFonts w:ascii="Times New Roman;serif" w:hAnsi="Times New Roman;serif"/>
                  <w:b/>
                  <w:color w:val="0000FF"/>
                  <w:sz w:val="20"/>
                  <w:u w:val="single"/>
                </w:rPr>
                <w:t>Item 6.</w:t>
              </w:r>
            </w:hyperlink>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09">
              <w:r>
                <w:rPr>
                  <w:rStyle w:val="InternetLink"/>
                  <w:rFonts w:ascii="Times New Roman;serif" w:hAnsi="Times New Roman;serif"/>
                  <w:b w:val="false"/>
                  <w:color w:val="0000FF"/>
                  <w:sz w:val="20"/>
                  <w:u w:val="single"/>
                </w:rPr>
                <w:t>Exhibits</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109">
              <w:r>
                <w:rPr>
                  <w:rStyle w:val="InternetLink"/>
                  <w:rFonts w:ascii="Times New Roman;serif" w:hAnsi="Times New Roman;serif"/>
                  <w:b/>
                  <w:color w:val="0000FF"/>
                  <w:sz w:val="20"/>
                  <w:u w:val="single"/>
                </w:rPr>
                <w:t>30</w:t>
              </w:r>
            </w:hyperlink>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a204bd7814942659e1a1e57b666ce53_112">
              <w:r>
                <w:rPr>
                  <w:rStyle w:val="InternetLink"/>
                  <w:rFonts w:ascii="Times New Roman;serif" w:hAnsi="Times New Roman;serif"/>
                  <w:b/>
                  <w:color w:val="0000FF"/>
                  <w:sz w:val="20"/>
                  <w:u w:val="single"/>
                </w:rPr>
                <w:t>Signatures</w:t>
              </w:r>
            </w:hyperlink>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04bd7814942659e1a1e57b666ce53_112">
              <w:r>
                <w:rPr>
                  <w:rStyle w:val="InternetLink"/>
                  <w:rFonts w:ascii="Times New Roman;serif" w:hAnsi="Times New Roman;serif"/>
                  <w:b/>
                  <w:color w:val="0000FF"/>
                  <w:sz w:val="20"/>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CONMED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COMPREHENSIVE INCOME</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amounts)</w:t>
      </w:r>
    </w:p>
    <w:p>
      <w:pPr>
        <w:pStyle w:val="TextBody"/>
        <w:bidi w:val="0"/>
        <w:spacing w:lineRule="auto" w:line="288" w:before="0" w:after="0"/>
        <w:jc w:val="left"/>
        <w:rPr>
          <w:color w:val="000000"/>
        </w:rPr>
      </w:pPr>
      <w:r>
        <w:rPr>
          <w:color w:val="000000"/>
        </w:rPr>
        <w:t> </w:t>
      </w:r>
    </w:p>
    <w:tbl>
      <w:tblPr>
        <w:tblW w:w="8625" w:type="dxa"/>
        <w:jc w:val="left"/>
        <w:tblInd w:w="0" w:type="dxa"/>
        <w:tblLayout w:type="fixed"/>
        <w:tblCellMar>
          <w:top w:w="28" w:type="dxa"/>
          <w:left w:w="28" w:type="dxa"/>
          <w:bottom w:w="28" w:type="dxa"/>
          <w:right w:w="28" w:type="dxa"/>
        </w:tblCellMar>
      </w:tblPr>
      <w:tblGrid>
        <w:gridCol w:w="1291"/>
        <w:gridCol w:w="855"/>
        <w:gridCol w:w="8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342,345 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660,534 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663,600 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Per share data: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CONMED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p>
      <w:pPr>
        <w:pStyle w:val="TextBody"/>
        <w:bidi w:val="0"/>
        <w:spacing w:lineRule="auto" w:line="288" w:before="0" w:after="0"/>
        <w:jc w:val="left"/>
        <w:rPr>
          <w:color w:val="000000"/>
        </w:rPr>
      </w:pPr>
      <w:r>
        <w:rPr>
          <w:color w:val="000000"/>
        </w:rPr>
        <w:t> </w:t>
      </w:r>
    </w:p>
    <w:tbl>
      <w:tblPr>
        <w:tblW w:w="7463" w:type="dxa"/>
        <w:jc w:val="left"/>
        <w:tblInd w:w="0" w:type="dxa"/>
        <w:tblLayout w:type="fixed"/>
        <w:tblCellMar>
          <w:top w:w="28" w:type="dxa"/>
          <w:left w:w="28" w:type="dxa"/>
          <w:bottom w:w="28" w:type="dxa"/>
          <w:right w:w="28" w:type="dxa"/>
        </w:tblCellMar>
      </w:tblPr>
      <w:tblGrid>
        <w:gridCol w:w="1627"/>
        <w:gridCol w:w="1434"/>
        <w:gridCol w:w="1438"/>
        <w:gridCol w:w="211"/>
        <w:gridCol w:w="976"/>
        <w:gridCol w:w="109"/>
        <w:gridCol w:w="109"/>
        <w:gridCol w:w="109"/>
        <w:gridCol w:w="109"/>
        <w:gridCol w:w="211"/>
        <w:gridCol w:w="976"/>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675,665 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672,860 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110,144 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113,331 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2,300,306 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2,325,749 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455,399 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315,041 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1,258,916 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1,292,652 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500,000 shares; none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100,000,000 shares authorized; 31,299,194 shares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in 2026 and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1,312,367 and 328,097 shares of common stock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treasury, at cost, in 2026 and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1,041,390 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1,033,097 </w:t>
            </w:r>
          </w:p>
        </w:tc>
        <w:tc>
          <w:tcPr>
            <w:tcW w:w="154"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2,300,306 </w:t>
            </w:r>
          </w:p>
        </w:tc>
        <w:tc>
          <w:tcPr>
            <w:tcW w:w="109"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2,325,749 </w:t>
            </w:r>
          </w:p>
        </w:tc>
        <w:tc>
          <w:tcPr>
            <w:tcW w:w="154" w:type="dxa"/>
            <w:tcBorders>
              <w:top w:val="single" w:sz="1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CONMED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amounts)</w:t>
      </w:r>
    </w:p>
    <w:tbl>
      <w:tblPr>
        <w:tblW w:w="10205" w:type="dxa"/>
        <w:jc w:val="center"/>
        <w:tblInd w:w="0" w:type="dxa"/>
        <w:tblLayout w:type="fixed"/>
        <w:tblCellMar>
          <w:top w:w="28" w:type="dxa"/>
          <w:left w:w="28" w:type="dxa"/>
          <w:bottom w:w="28" w:type="dxa"/>
          <w:right w:w="28" w:type="dxa"/>
        </w:tblCellMar>
      </w:tblPr>
      <w:tblGrid>
        <w:gridCol w:w="1110"/>
        <w:gridCol w:w="953"/>
        <w:gridCol w:w="957"/>
        <w:gridCol w:w="323"/>
        <w:gridCol w:w="323"/>
        <w:gridCol w:w="196"/>
        <w:gridCol w:w="218"/>
        <w:gridCol w:w="470"/>
        <w:gridCol w:w="121"/>
        <w:gridCol w:w="196"/>
        <w:gridCol w:w="736"/>
        <w:gridCol w:w="109"/>
        <w:gridCol w:w="196"/>
        <w:gridCol w:w="736"/>
        <w:gridCol w:w="109"/>
        <w:gridCol w:w="246"/>
        <w:gridCol w:w="832"/>
        <w:gridCol w:w="138"/>
        <w:gridCol w:w="196"/>
        <w:gridCol w:w="706"/>
        <w:gridCol w:w="109"/>
        <w:gridCol w:w="196"/>
        <w:gridCol w:w="871"/>
        <w:gridCol w:w="158"/>
      </w:tblGrid>
      <w:tr>
        <w:trPr/>
        <w:tc>
          <w:tcPr>
            <w:tcW w:w="111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Paid-in</w:t>
              <w:br/>
              <w:t>Capital</w:t>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w:t>
              <w:br/>
              <w:t>Earnings</w:t>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w:t>
              <w:br/>
              <w:t>Other</w:t>
              <w:br/>
              <w:t>Comprehensive</w:t>
              <w:br/>
              <w:t>Loss</w:t>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w:t>
              <w:br/>
              <w:t>Stock</w:t>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Shareholders’</w:t>
              <w:br/>
              <w:t>Equity</w:t>
            </w:r>
          </w:p>
        </w:tc>
      </w:tr>
      <w:tr>
        <w:trPr/>
        <w:tc>
          <w:tcPr>
            <w:tcW w:w="3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80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Balance at December 31, 2025</w:t>
            </w:r>
          </w:p>
        </w:tc>
        <w:tc>
          <w:tcPr>
            <w:tcW w:w="64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31,299 </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313 </w:t>
            </w:r>
          </w:p>
        </w:tc>
        <w:tc>
          <w:tcPr>
            <w:tcW w:w="12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503,200 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588,766 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(46,295)</w:t>
            </w:r>
          </w:p>
        </w:tc>
        <w:tc>
          <w:tcPr>
            <w:tcW w:w="13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(12,887)</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1,033,097 </w:t>
            </w:r>
          </w:p>
        </w:tc>
        <w:tc>
          <w:tcPr>
            <w:tcW w:w="1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issued under employee plans</w:t>
            </w:r>
          </w:p>
        </w:tc>
        <w:tc>
          <w:tcPr>
            <w:tcW w:w="8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1,025 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Repurchases of common stock </w:t>
            </w:r>
            <w:r>
              <w:rPr>
                <w:rFonts w:ascii="Times New Roman;serif" w:hAnsi="Times New Roman;serif"/>
                <w:b w:val="false"/>
                <w:color w:val="000000"/>
                <w:sz w:val="11"/>
              </w:rPr>
              <w:t>(a)</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flow hedging gain, net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 liability, net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comprehensive income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Balance at March 31,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31,299 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(44,687)</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1,017,673 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issued under employee plans</w:t>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Repurchases of common stock </w:t>
            </w:r>
            <w:r>
              <w:rPr>
                <w:rFonts w:ascii="Times New Roman;serif" w:hAnsi="Times New Roman;serif"/>
                <w:b w:val="false"/>
                <w:color w:val="000000"/>
                <w:sz w:val="11"/>
              </w:rPr>
              <w:t>(a)</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Settlement of convertible notes hedge transactions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Settlement of warrants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 hedging gain, net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 liability, net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comprehensive income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Balance at June 30, 2026</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31,299 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513,464 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625,665 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(43,372)</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(54,680)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1,041,390 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302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(a) </w:t>
      </w:r>
      <w:r>
        <w:rPr>
          <w:rFonts w:ascii="Times New Roman;serif" w:hAnsi="Times New Roman;serif"/>
          <w:b w:val="false"/>
          <w:color w:val="000000"/>
          <w:sz w:val="16"/>
        </w:rPr>
        <w:t xml:space="preserve">Inclusive of excise taxes </w:t>
      </w:r>
    </w:p>
    <w:tbl>
      <w:tblPr>
        <w:tblW w:w="10205" w:type="dxa"/>
        <w:jc w:val="center"/>
        <w:tblInd w:w="0" w:type="dxa"/>
        <w:tblLayout w:type="fixed"/>
        <w:tblCellMar>
          <w:top w:w="28" w:type="dxa"/>
          <w:left w:w="28" w:type="dxa"/>
          <w:bottom w:w="28" w:type="dxa"/>
          <w:right w:w="28" w:type="dxa"/>
        </w:tblCellMar>
      </w:tblPr>
      <w:tblGrid>
        <w:gridCol w:w="1100"/>
        <w:gridCol w:w="952"/>
        <w:gridCol w:w="955"/>
        <w:gridCol w:w="323"/>
        <w:gridCol w:w="323"/>
        <w:gridCol w:w="196"/>
        <w:gridCol w:w="221"/>
        <w:gridCol w:w="475"/>
        <w:gridCol w:w="122"/>
        <w:gridCol w:w="196"/>
        <w:gridCol w:w="736"/>
        <w:gridCol w:w="109"/>
        <w:gridCol w:w="196"/>
        <w:gridCol w:w="736"/>
        <w:gridCol w:w="109"/>
        <w:gridCol w:w="246"/>
        <w:gridCol w:w="832"/>
        <w:gridCol w:w="138"/>
        <w:gridCol w:w="196"/>
        <w:gridCol w:w="711"/>
        <w:gridCol w:w="109"/>
        <w:gridCol w:w="196"/>
        <w:gridCol w:w="871"/>
        <w:gridCol w:w="157"/>
      </w:tblGrid>
      <w:tr>
        <w:trPr/>
        <w:tc>
          <w:tcPr>
            <w:tcW w:w="110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Paid-in</w:t>
              <w:br/>
              <w:t>Capital</w:t>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w:t>
              <w:br/>
              <w:t>Earnings</w:t>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w:t>
              <w:br/>
              <w:t>Other</w:t>
              <w:br/>
              <w:t>Comprehensive</w:t>
              <w:br/>
              <w:t>Loss</w:t>
            </w:r>
          </w:p>
        </w:tc>
        <w:tc>
          <w:tcPr>
            <w:tcW w:w="10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w:t>
              <w:br/>
              <w:t>Stock</w:t>
            </w:r>
          </w:p>
        </w:tc>
        <w:tc>
          <w:tcPr>
            <w:tcW w:w="12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Shareholders’</w:t>
              <w:br/>
              <w:t>Equity</w:t>
            </w:r>
          </w:p>
        </w:tc>
      </w:tr>
      <w:tr>
        <w:trPr/>
        <w:tc>
          <w:tcPr>
            <w:tcW w:w="3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81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16" w:type="dxa"/>
            <w:gridSpan w:val="3"/>
            <w:vMerge w:val="continue"/>
            <w:tcBorders/>
            <w:tcMar>
              <w:top w:w="0" w:type="dxa"/>
              <w:left w:w="0" w:type="dxa"/>
              <w:bottom w:w="0" w:type="dxa"/>
              <w:right w:w="0" w:type="dxa"/>
            </w:tcMar>
            <w:vAlign w:val="center"/>
          </w:tcPr>
          <w:p>
            <w:pPr>
              <w:pStyle w:val="Normal"/>
              <w:bidi w:val="0"/>
              <w:jc w:val="left"/>
              <w:rPr/>
            </w:pPr>
            <w:r>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Balance at December 31, 2024</w:t>
            </w:r>
          </w:p>
        </w:tc>
        <w:tc>
          <w:tcPr>
            <w:tcW w:w="64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31,299 </w:t>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313 </w:t>
            </w:r>
          </w:p>
        </w:tc>
        <w:tc>
          <w:tcPr>
            <w:tcW w:w="12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476,575 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560,277 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(58,857)</w:t>
            </w:r>
          </w:p>
        </w:tc>
        <w:tc>
          <w:tcPr>
            <w:tcW w:w="13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(15,627)</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962,681 </w:t>
            </w:r>
          </w:p>
        </w:tc>
        <w:tc>
          <w:tcPr>
            <w:tcW w:w="15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issued under employee plans</w:t>
            </w:r>
          </w:p>
        </w:tc>
        <w:tc>
          <w:tcPr>
            <w:tcW w:w="8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Dividends on common stock ($0.20 per share)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flow hedging loss, net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 liability, net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comprehensive income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Balance at March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31,299 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(57,392)</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977,636 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issued under employee plans</w:t>
            </w:r>
          </w:p>
        </w:tc>
        <w:tc>
          <w:tcPr>
            <w:tcW w:w="8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685 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Dividends on common stock ($0.20 per share)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flow hedging loss, net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(6,840)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 liability, net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comprehensive income</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Balance at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31,299 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575,359 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(52,978)</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1,002,870 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7198" w:type="dxa"/>
            <w:gridSpan w:val="21"/>
            <w:tcBorders/>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00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CONMED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9173" w:type="dxa"/>
        <w:jc w:val="center"/>
        <w:tblInd w:w="0" w:type="dxa"/>
        <w:tblLayout w:type="fixed"/>
        <w:tblCellMar>
          <w:top w:w="28" w:type="dxa"/>
          <w:left w:w="28" w:type="dxa"/>
          <w:bottom w:w="28" w:type="dxa"/>
          <w:right w:w="28" w:type="dxa"/>
        </w:tblCellMar>
      </w:tblPr>
      <w:tblGrid>
        <w:gridCol w:w="2431"/>
        <w:gridCol w:w="2141"/>
        <w:gridCol w:w="2147"/>
        <w:gridCol w:w="211"/>
        <w:gridCol w:w="721"/>
        <w:gridCol w:w="109"/>
        <w:gridCol w:w="109"/>
        <w:gridCol w:w="109"/>
        <w:gridCol w:w="109"/>
        <w:gridCol w:w="211"/>
        <w:gridCol w:w="721"/>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54"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5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product offerings,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adjustments to fair value of contingent consideration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flows from 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product offerings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repurchase convertible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Non-cash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CONMED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except per share amounts)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1 -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CONMED Corporation (“CONMED”, the “Company”, “we” or “us”) is a medical technology company that provides devices and equipment for surgical procedures.  The Company’s products are used by surgeons and other healthcare professionals in a variety of specialties including orthopedics, general surgery, gynecology, and thoracic surgery.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March 31, 2026, the Company sold certain assets related to our gastroenterology product offerings for $7.0 million and we recorded a gain of $3.9 million on this asset sale to selling and administrative expense. During the quarter ended June 30, 2026, we recorded an additional gain of $1.9 million to selling and administrative expense.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Company completed the sale of additional assets related to our gastroenterology product offerings for $14.0 million. This sale was accounted for as a sale of a business which resulted in a $4.4 million loss as further described in Note 9.</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2 - Interim Financial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condensed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annual financial statements. The information herein reflects all normal recurring material adjustments, which are, in the opinion of management, necessary to fairly state the results for the periods presented. The consolidated condensed financial statements herein consist of all wholly-owned domestic and foreign subsidiaries with all significant intercompany transactions eliminated. Results for the periods ended June 30, 2026 are not necessarily indicative of the results that may be expected for the year ending December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condensed financial statements and notes thereto should be read in conjunction with the consolidated financial statements and notes for the year ended December 31, 2025 included in our Annual Report on Form 10-K.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condensed financial statements in conformity with accounting principles generally accepted in the United States of America requires management to make estimates and judgments which affect the reported amounts of assets, liabilities and related disclosures of contingent assets and liabilities at the date of the consolidated condensed financial statements and the reported amount of revenue and expenses during the reporting period. While there has been uncertainty and disruption in the global economy and financial markets, we are not aware of any specific event or circumstance that would require an update to our estimates or judgments or a revision of the carrying value of our assets or liabilities as of July 29, 2026, the date of issuance of this Quarterly Report on Form 10-Q. These estimates may change as new events occur and additional information is obtained. Actual results could differ materially from these estimates under different assumptions or conditions.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3 - New Accounting Pronouncements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 Not Yet Adopted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Financial Accounting Standards Board ("FASB") issued Accounting Standards Update ("ASU") 2025-06 - Intangibles-Goodwill and Other-Internal-Use Software (Subtopic 350-40): Targeted Improvements to the Accounting for Internal-Use Software. The standard removes all references to software development stages. It also requires that an entity capitalizes software when both: (1) management has authorized and committed funding to the project and (2) it is probable that the project will be completed and the software is used to perform the intended function. This ASU may be adopted prospectively, retrospectively, or on a modified transition approach based on the status of the project and whether software costs were capitalized before the date of adoption. It is effective for annual periods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2027 and interim periods within fiscal years beginning after December 15, 2027 with early adoption permitted. We are currently evaluating the impact this ASU will have on our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 Reporting Comprehensive Income - Expense Disaggregation Disclosures (Subtopic 220-40) as clarified by ASU 2025-01. The standard requires disaggregation of certain expense captions into specified categories in disclosures within the footnotes on an annual and interim basis. Any relevant expense caption presented on the face of the income statement within continuing operations are required to be disaggregated by the following natural expense categories: (1) purchases of inventory, (2) employee compensation, (3) depreciation, and (4) intangible asset amortization. This ASU can be adopted prospectively or retrospectively and is effective for annual periods beginning after December 15, 2026 and interim periods within fiscal years beginning after December 15, 2027. We expect this ASU to only impact our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4 - Revenues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revenue disaggregated by primary geographic market where the products are sold, by product line and timing of revenue recognition: </w:t>
      </w:r>
    </w:p>
    <w:tbl>
      <w:tblPr>
        <w:tblW w:w="10205" w:type="dxa"/>
        <w:jc w:val="center"/>
        <w:tblInd w:w="0" w:type="dxa"/>
        <w:tblLayout w:type="fixed"/>
        <w:tblCellMar>
          <w:top w:w="28" w:type="dxa"/>
          <w:left w:w="28" w:type="dxa"/>
          <w:bottom w:w="28" w:type="dxa"/>
          <w:right w:w="28" w:type="dxa"/>
        </w:tblCellMar>
      </w:tblPr>
      <w:tblGrid>
        <w:gridCol w:w="518"/>
        <w:gridCol w:w="443"/>
        <w:gridCol w:w="446"/>
        <w:gridCol w:w="224"/>
        <w:gridCol w:w="880"/>
        <w:gridCol w:w="116"/>
        <w:gridCol w:w="109"/>
        <w:gridCol w:w="109"/>
        <w:gridCol w:w="109"/>
        <w:gridCol w:w="219"/>
        <w:gridCol w:w="858"/>
        <w:gridCol w:w="113"/>
        <w:gridCol w:w="109"/>
        <w:gridCol w:w="109"/>
        <w:gridCol w:w="109"/>
        <w:gridCol w:w="211"/>
        <w:gridCol w:w="826"/>
        <w:gridCol w:w="109"/>
        <w:gridCol w:w="109"/>
        <w:gridCol w:w="109"/>
        <w:gridCol w:w="109"/>
        <w:gridCol w:w="224"/>
        <w:gridCol w:w="880"/>
        <w:gridCol w:w="116"/>
        <w:gridCol w:w="109"/>
        <w:gridCol w:w="109"/>
        <w:gridCol w:w="109"/>
        <w:gridCol w:w="219"/>
        <w:gridCol w:w="858"/>
        <w:gridCol w:w="113"/>
        <w:gridCol w:w="109"/>
        <w:gridCol w:w="109"/>
        <w:gridCol w:w="109"/>
        <w:gridCol w:w="211"/>
        <w:gridCol w:w="826"/>
        <w:gridCol w:w="160"/>
      </w:tblGrid>
      <w:tr>
        <w:trPr/>
        <w:tc>
          <w:tcPr>
            <w:tcW w:w="51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Orthopedic Surgery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General Surgery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Orthopedic Surgery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General Surgery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Primary Geographic Markets</w:t>
            </w:r>
          </w:p>
        </w:tc>
        <w:tc>
          <w:tcPr>
            <w:tcW w:w="12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Americas (excluding the United States)</w:t>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sales from contracts with customers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201,611 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342,345 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transferred at a point in time</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188,205 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199,065 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328,447 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sales from contracts with customers</w:t>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152,315 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191,173 </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140,734 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201,611 </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342,345 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18"/>
        <w:gridCol w:w="443"/>
        <w:gridCol w:w="446"/>
        <w:gridCol w:w="224"/>
        <w:gridCol w:w="880"/>
        <w:gridCol w:w="116"/>
        <w:gridCol w:w="109"/>
        <w:gridCol w:w="109"/>
        <w:gridCol w:w="109"/>
        <w:gridCol w:w="219"/>
        <w:gridCol w:w="858"/>
        <w:gridCol w:w="113"/>
        <w:gridCol w:w="109"/>
        <w:gridCol w:w="109"/>
        <w:gridCol w:w="109"/>
        <w:gridCol w:w="211"/>
        <w:gridCol w:w="826"/>
        <w:gridCol w:w="109"/>
        <w:gridCol w:w="109"/>
        <w:gridCol w:w="109"/>
        <w:gridCol w:w="109"/>
        <w:gridCol w:w="224"/>
        <w:gridCol w:w="880"/>
        <w:gridCol w:w="116"/>
        <w:gridCol w:w="109"/>
        <w:gridCol w:w="109"/>
        <w:gridCol w:w="109"/>
        <w:gridCol w:w="219"/>
        <w:gridCol w:w="858"/>
        <w:gridCol w:w="113"/>
        <w:gridCol w:w="109"/>
        <w:gridCol w:w="109"/>
        <w:gridCol w:w="109"/>
        <w:gridCol w:w="211"/>
        <w:gridCol w:w="826"/>
        <w:gridCol w:w="160"/>
      </w:tblGrid>
      <w:tr>
        <w:trPr/>
        <w:tc>
          <w:tcPr>
            <w:tcW w:w="51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Orthopedic Surgery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General Surgery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Orthopedic Surgery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General Surgery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Primary Geographic Markets</w:t>
            </w:r>
          </w:p>
        </w:tc>
        <w:tc>
          <w:tcPr>
            <w:tcW w:w="12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Europe, Middle East &amp; Africa</w:t>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131,453 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Americas (excluding the United States)</w:t>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sales from contracts with customers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360,556 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384,576 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663,600 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transferred at a point in time</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276,636 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379,582 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636,512 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sales from contracts with customers</w:t>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299,978 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360,556 </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660,534 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279,024 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384,576 </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663,600 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liability balances related to the sale of extended warranties to customers are as follows:</w:t>
      </w:r>
    </w:p>
    <w:p>
      <w:pPr>
        <w:pStyle w:val="TextBody"/>
        <w:bidi w:val="0"/>
        <w:spacing w:before="0" w:after="0"/>
        <w:jc w:val="both"/>
        <w:rPr/>
      </w:pPr>
      <w:r>
        <w:rPr/>
      </w:r>
    </w:p>
    <w:tbl>
      <w:tblPr>
        <w:tblW w:w="4901" w:type="dxa"/>
        <w:jc w:val="left"/>
        <w:tblInd w:w="0" w:type="dxa"/>
        <w:tblLayout w:type="fixed"/>
        <w:tblCellMar>
          <w:top w:w="28" w:type="dxa"/>
          <w:left w:w="28" w:type="dxa"/>
          <w:bottom w:w="28" w:type="dxa"/>
          <w:right w:w="28" w:type="dxa"/>
        </w:tblCellMar>
      </w:tblPr>
      <w:tblGrid>
        <w:gridCol w:w="554"/>
        <w:gridCol w:w="487"/>
        <w:gridCol w:w="489"/>
        <w:gridCol w:w="258"/>
        <w:gridCol w:w="883"/>
        <w:gridCol w:w="133"/>
        <w:gridCol w:w="109"/>
        <w:gridCol w:w="109"/>
        <w:gridCol w:w="109"/>
        <w:gridCol w:w="344"/>
        <w:gridCol w:w="1175"/>
        <w:gridCol w:w="251"/>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liability</w:t>
            </w:r>
          </w:p>
        </w:tc>
        <w:tc>
          <w:tcPr>
            <w:tcW w:w="2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23,825 </w:t>
            </w:r>
          </w:p>
        </w:tc>
        <w:tc>
          <w:tcPr>
            <w:tcW w:w="1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21,967 </w:t>
            </w:r>
          </w:p>
        </w:tc>
        <w:tc>
          <w:tcPr>
            <w:tcW w:w="2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six months ended June 30, 2026 and June 30, 2025 from amounts included in contract liabilities at the beginning of the periods were $9.4 million and $8.9 million, respectively. There were no material contract assets as of June 30, 2026 and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5 - Comprehensive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Comprehensive income consists of the following:</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24"/>
        <w:gridCol w:w="1568"/>
        <w:gridCol w:w="1582"/>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62"/>
      </w:tblGrid>
      <w:tr>
        <w:trPr/>
        <w:tc>
          <w:tcPr>
            <w:tcW w:w="1824"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5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27,457 </w:t>
            </w:r>
          </w:p>
        </w:tc>
        <w:tc>
          <w:tcPr>
            <w:tcW w:w="16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hedging gain (loss), net of income tax (income tax expense (benefit) of $766 and $(2,188) for the three months ended June 30, 2026 and 2025, respectively, and $1,746 and $(3,361) for the six months ended June 30, 2026 and 2025, respectively)</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liability, net of income tax (income tax expense of $68 and $86 for the three months ended June 30, 2026 and 2025, respectively, and $136 and $172 for the six months ended June 30, 2026 and 2025, respectively)</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25,835 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33,336 </w:t>
            </w:r>
          </w:p>
        </w:tc>
        <w:tc>
          <w:tcPr>
            <w:tcW w:w="1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95"/>
        <w:gridCol w:w="1368"/>
        <w:gridCol w:w="1346"/>
        <w:gridCol w:w="228"/>
        <w:gridCol w:w="667"/>
        <w:gridCol w:w="117"/>
        <w:gridCol w:w="109"/>
        <w:gridCol w:w="109"/>
        <w:gridCol w:w="109"/>
        <w:gridCol w:w="211"/>
        <w:gridCol w:w="768"/>
        <w:gridCol w:w="109"/>
        <w:gridCol w:w="109"/>
        <w:gridCol w:w="109"/>
        <w:gridCol w:w="109"/>
        <w:gridCol w:w="227"/>
        <w:gridCol w:w="795"/>
        <w:gridCol w:w="119"/>
        <w:gridCol w:w="109"/>
        <w:gridCol w:w="109"/>
        <w:gridCol w:w="109"/>
        <w:gridCol w:w="281"/>
        <w:gridCol w:w="983"/>
        <w:gridCol w:w="210"/>
      </w:tblGrid>
      <w:tr>
        <w:trPr/>
        <w:tc>
          <w:tcPr>
            <w:tcW w:w="179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Cash Flow</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Hedging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Cumulative</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Loss</w:t>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1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(14,287)</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(31,103)</w:t>
            </w:r>
          </w:p>
        </w:tc>
        <w:tc>
          <w:tcPr>
            <w:tcW w:w="11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(46,295)</w:t>
            </w:r>
          </w:p>
        </w:tc>
        <w:tc>
          <w:tcPr>
            <w:tcW w:w="21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net of tax</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accumulated other comprehensive income (loss) before tax</w:t>
            </w:r>
            <w:r>
              <w:rPr>
                <w:rFonts w:ascii="Times New Roman;serif" w:hAnsi="Times New Roman;serif"/>
                <w:b w:val="false"/>
                <w:color w:val="000000"/>
                <w:sz w:val="13"/>
              </w:rPr>
              <w:t>a</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(34,062)</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w:t>
            </w:r>
          </w:p>
        </w:tc>
        <w:tc>
          <w:tcPr>
            <w:tcW w:w="2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3"/>
        <w:gridCol w:w="1365"/>
        <w:gridCol w:w="1343"/>
        <w:gridCol w:w="218"/>
        <w:gridCol w:w="688"/>
        <w:gridCol w:w="112"/>
        <w:gridCol w:w="109"/>
        <w:gridCol w:w="109"/>
        <w:gridCol w:w="109"/>
        <w:gridCol w:w="211"/>
        <w:gridCol w:w="768"/>
        <w:gridCol w:w="109"/>
        <w:gridCol w:w="109"/>
        <w:gridCol w:w="109"/>
        <w:gridCol w:w="109"/>
        <w:gridCol w:w="227"/>
        <w:gridCol w:w="795"/>
        <w:gridCol w:w="119"/>
        <w:gridCol w:w="109"/>
        <w:gridCol w:w="109"/>
        <w:gridCol w:w="109"/>
        <w:gridCol w:w="281"/>
        <w:gridCol w:w="983"/>
        <w:gridCol w:w="212"/>
      </w:tblGrid>
      <w:tr>
        <w:trPr/>
        <w:tc>
          <w:tcPr>
            <w:tcW w:w="179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Cash Flow</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Hedging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w:t>
              <w:b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Cumulative</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Loss</w:t>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(16,880)</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(46,274)</w:t>
            </w:r>
          </w:p>
        </w:tc>
        <w:tc>
          <w:tcPr>
            <w:tcW w:w="11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(58,857)</w:t>
            </w:r>
          </w:p>
        </w:tc>
        <w:tc>
          <w:tcPr>
            <w:tcW w:w="21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 before reclassifications, net of tax</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Amounts reclassified from accumulated other comprehensive income (loss) before tax</w:t>
            </w:r>
            <w:r>
              <w:rPr>
                <w:rFonts w:ascii="Times New Roman;serif" w:hAnsi="Times New Roman;serif"/>
                <w:b w:val="false"/>
                <w:color w:val="000000"/>
                <w:sz w:val="13"/>
              </w:rPr>
              <w:t>a</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(30,423)</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(52,978)</w:t>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The cash flow hedging gain (loss) and pension liability accumulated other comprehensive loss components are included in sales or cost of sales and as a component of net periodic pension cost, respectively. Refer to Note 6 and Note 12, respectively, for further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6 - Fair Value Measurement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We enter into derivative instruments for risk management purposes only. We operate internationally and, in the normal course of business, are exposed to fluctuations in interest rates, foreign exchange rates and commodity prices. These fluctuations can increase the costs of financing, investing and operating the business. We use forward contracts, a type of derivative instrument, to manage certain foreign currency exposures.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nature, all financial instruments involve market and credit risks. We enter into forward contracts with major investment grade financial institutions and have policies to monitor the credit risk of those counterparties. While there can be no assurance, we do not anticipate any material non-performance by any of these counterparties.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Foreign Currency Forward Contracts. </w:t>
      </w:r>
      <w:r>
        <w:rPr>
          <w:rFonts w:ascii="Times New Roman;serif" w:hAnsi="Times New Roman;serif"/>
          <w:b w:val="false"/>
          <w:color w:val="000000"/>
          <w:sz w:val="20"/>
        </w:rPr>
        <w:t>We hedge forecasted intercompany sales denominated in foreign currencies through the use of forward contracts.  We account for these forward contracts as cash flow hedges.  To the extent these forward contracts meet hedge accounting criteria, changes in their fair value are not included in current earnings but are included in accumulated other comprehensive loss.  These changes in fair value will be recognized into earnings as a component of sales or cost of sales when the forecasted transaction occurs.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enter into forward contracts to exchange foreign currencies for United States dollars in order to hedge our currency transaction exposures on intercompany receivables designated in foreign currencies.  These forward contracts settle each month at month-end, at which time we enter into new forward contracts.  We have not designated these forward contracts as hedges and have not applied hedge accounting to them.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notional contract amounts for forward contracts outstanding:</w:t>
      </w:r>
    </w:p>
    <w:p>
      <w:pPr>
        <w:pStyle w:val="TextBody"/>
        <w:bidi w:val="0"/>
        <w:spacing w:before="0" w:after="0"/>
        <w:ind w:left="0" w:right="0" w:firstLine="720"/>
        <w:jc w:val="both"/>
        <w:rPr/>
      </w:pPr>
      <w:r>
        <w:rPr/>
      </w:r>
    </w:p>
    <w:tbl>
      <w:tblPr>
        <w:tblW w:w="9052" w:type="dxa"/>
        <w:jc w:val="center"/>
        <w:tblInd w:w="0" w:type="dxa"/>
        <w:tblLayout w:type="fixed"/>
        <w:tblCellMar>
          <w:top w:w="28" w:type="dxa"/>
          <w:left w:w="28" w:type="dxa"/>
          <w:bottom w:w="28" w:type="dxa"/>
          <w:right w:w="28" w:type="dxa"/>
        </w:tblCellMar>
      </w:tblPr>
      <w:tblGrid>
        <w:gridCol w:w="863"/>
        <w:gridCol w:w="760"/>
        <w:gridCol w:w="762"/>
        <w:gridCol w:w="989"/>
        <w:gridCol w:w="989"/>
        <w:gridCol w:w="992"/>
        <w:gridCol w:w="109"/>
        <w:gridCol w:w="109"/>
        <w:gridCol w:w="109"/>
        <w:gridCol w:w="234"/>
        <w:gridCol w:w="919"/>
        <w:gridCol w:w="121"/>
        <w:gridCol w:w="109"/>
        <w:gridCol w:w="109"/>
        <w:gridCol w:w="109"/>
        <w:gridCol w:w="313"/>
        <w:gridCol w:w="1228"/>
        <w:gridCol w:w="228"/>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FASB ASC Topic 815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exchange contracts</w:t>
            </w:r>
          </w:p>
        </w:tc>
        <w:tc>
          <w:tcPr>
            <w:tcW w:w="2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254,334 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239,588 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exchange contracts</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remaining time to maturity as of June 30, 2026 is within two years for hedge designated foreign exchange contracts and approximately one month for non-hedge designated forward exchange contracts.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Statement of comprehensive income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Derivatives designated as cash flow hedges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contracts designated as cash flow hedges had the following effects on accumulated other comprehensive income (loss) ("AOCI") and net earnings on our consolidated condensed statements of comprehensive income and our consolidated condensed balance sheets: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96"/>
        <w:gridCol w:w="347"/>
        <w:gridCol w:w="350"/>
        <w:gridCol w:w="109"/>
        <w:gridCol w:w="109"/>
        <w:gridCol w:w="109"/>
        <w:gridCol w:w="215"/>
        <w:gridCol w:w="629"/>
        <w:gridCol w:w="111"/>
        <w:gridCol w:w="111"/>
        <w:gridCol w:w="111"/>
        <w:gridCol w:w="111"/>
        <w:gridCol w:w="215"/>
        <w:gridCol w:w="648"/>
        <w:gridCol w:w="111"/>
        <w:gridCol w:w="109"/>
        <w:gridCol w:w="109"/>
        <w:gridCol w:w="109"/>
        <w:gridCol w:w="374"/>
        <w:gridCol w:w="374"/>
        <w:gridCol w:w="375"/>
        <w:gridCol w:w="112"/>
        <w:gridCol w:w="112"/>
        <w:gridCol w:w="112"/>
        <w:gridCol w:w="216"/>
        <w:gridCol w:w="849"/>
        <w:gridCol w:w="112"/>
        <w:gridCol w:w="216"/>
        <w:gridCol w:w="849"/>
        <w:gridCol w:w="112"/>
        <w:gridCol w:w="109"/>
        <w:gridCol w:w="109"/>
        <w:gridCol w:w="109"/>
        <w:gridCol w:w="217"/>
        <w:gridCol w:w="500"/>
        <w:gridCol w:w="112"/>
        <w:gridCol w:w="112"/>
        <w:gridCol w:w="112"/>
        <w:gridCol w:w="112"/>
        <w:gridCol w:w="217"/>
        <w:gridCol w:w="500"/>
        <w:gridCol w:w="174"/>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 of Gain (Loss) Recognized in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 of Gain (Loss) Reclassified from AOCI</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 of Line Item Presented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amount reclassified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Pre-tax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95"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211"/>
        <w:gridCol w:w="616"/>
        <w:gridCol w:w="109"/>
        <w:gridCol w:w="109"/>
        <w:gridCol w:w="109"/>
        <w:gridCol w:w="109"/>
        <w:gridCol w:w="211"/>
        <w:gridCol w:w="736"/>
        <w:gridCol w:w="109"/>
        <w:gridCol w:w="109"/>
        <w:gridCol w:w="109"/>
        <w:gridCol w:w="109"/>
        <w:gridCol w:w="355"/>
        <w:gridCol w:w="355"/>
        <w:gridCol w:w="356"/>
        <w:gridCol w:w="109"/>
        <w:gridCol w:w="109"/>
        <w:gridCol w:w="109"/>
        <w:gridCol w:w="211"/>
        <w:gridCol w:w="826"/>
        <w:gridCol w:w="109"/>
        <w:gridCol w:w="211"/>
        <w:gridCol w:w="826"/>
        <w:gridCol w:w="109"/>
        <w:gridCol w:w="109"/>
        <w:gridCol w:w="109"/>
        <w:gridCol w:w="109"/>
        <w:gridCol w:w="211"/>
        <w:gridCol w:w="631"/>
        <w:gridCol w:w="109"/>
        <w:gridCol w:w="109"/>
        <w:gridCol w:w="109"/>
        <w:gridCol w:w="109"/>
        <w:gridCol w:w="211"/>
        <w:gridCol w:w="61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Gain (Loss) Recognized in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1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Condensed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 of Gain (Loss) Reclassified from AOCI</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 of Line Item Presented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amount reclassified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Pre-tax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$3.5 million of net unrealized gain on forward contracts accounted for as cash flow hedges, and included in accumulated other comprehensive loss, are expected to be recognized in earnings in the next twelve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cash flow hedges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losses from derivative instruments not accounted for as hedges and gains (losses) on our intercompany receivables on our consolidated condensed statements of comprehensive income were: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95"/>
        <w:gridCol w:w="609"/>
        <w:gridCol w:w="613"/>
        <w:gridCol w:w="109"/>
        <w:gridCol w:w="109"/>
        <w:gridCol w:w="109"/>
        <w:gridCol w:w="952"/>
        <w:gridCol w:w="952"/>
        <w:gridCol w:w="954"/>
        <w:gridCol w:w="109"/>
        <w:gridCol w:w="109"/>
        <w:gridCol w:w="109"/>
        <w:gridCol w:w="222"/>
        <w:gridCol w:w="528"/>
        <w:gridCol w:w="114"/>
        <w:gridCol w:w="114"/>
        <w:gridCol w:w="114"/>
        <w:gridCol w:w="114"/>
        <w:gridCol w:w="222"/>
        <w:gridCol w:w="686"/>
        <w:gridCol w:w="114"/>
        <w:gridCol w:w="109"/>
        <w:gridCol w:w="109"/>
        <w:gridCol w:w="109"/>
        <w:gridCol w:w="215"/>
        <w:gridCol w:w="510"/>
        <w:gridCol w:w="111"/>
        <w:gridCol w:w="111"/>
        <w:gridCol w:w="111"/>
        <w:gridCol w:w="111"/>
        <w:gridCol w:w="215"/>
        <w:gridCol w:w="664"/>
        <w:gridCol w:w="173"/>
      </w:tblGrid>
      <w:tr>
        <w:trPr/>
        <w:tc>
          <w:tcPr>
            <w:tcW w:w="6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Location on Consolidated Condensed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1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on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 on currency transaction exposures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Balance sheet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these forward foreign exchange contracts at fair value. The following tables summarize the fair value for forward foreign exchange contracts outstanding at June 30, 2026 and December 31, 2025: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3"/>
        <w:gridCol w:w="889"/>
        <w:gridCol w:w="790"/>
        <w:gridCol w:w="954"/>
        <w:gridCol w:w="954"/>
        <w:gridCol w:w="956"/>
        <w:gridCol w:w="109"/>
        <w:gridCol w:w="109"/>
        <w:gridCol w:w="109"/>
        <w:gridCol w:w="275"/>
        <w:gridCol w:w="804"/>
        <w:gridCol w:w="141"/>
        <w:gridCol w:w="109"/>
        <w:gridCol w:w="109"/>
        <w:gridCol w:w="109"/>
        <w:gridCol w:w="308"/>
        <w:gridCol w:w="994"/>
        <w:gridCol w:w="159"/>
        <w:gridCol w:w="109"/>
        <w:gridCol w:w="109"/>
        <w:gridCol w:w="109"/>
        <w:gridCol w:w="211"/>
        <w:gridCol w:w="616"/>
        <w:gridCol w:w="160"/>
      </w:tblGrid>
      <w:tr>
        <w:trPr/>
        <w:tc>
          <w:tcPr>
            <w:tcW w:w="10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on Consolidated Condensed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Fair</w:t>
              <w:br/>
              <w:t>Value</w:t>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hedged instruments:</w:t>
            </w:r>
          </w:p>
        </w:tc>
        <w:tc>
          <w:tcPr>
            <w:tcW w:w="28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96"/>
        <w:gridCol w:w="837"/>
        <w:gridCol w:w="841"/>
        <w:gridCol w:w="948"/>
        <w:gridCol w:w="948"/>
        <w:gridCol w:w="950"/>
        <w:gridCol w:w="109"/>
        <w:gridCol w:w="109"/>
        <w:gridCol w:w="109"/>
        <w:gridCol w:w="274"/>
        <w:gridCol w:w="802"/>
        <w:gridCol w:w="141"/>
        <w:gridCol w:w="109"/>
        <w:gridCol w:w="109"/>
        <w:gridCol w:w="109"/>
        <w:gridCol w:w="307"/>
        <w:gridCol w:w="990"/>
        <w:gridCol w:w="158"/>
        <w:gridCol w:w="109"/>
        <w:gridCol w:w="109"/>
        <w:gridCol w:w="109"/>
        <w:gridCol w:w="211"/>
        <w:gridCol w:w="661"/>
        <w:gridCol w:w="160"/>
      </w:tblGrid>
      <w:tr>
        <w:trPr/>
        <w:tc>
          <w:tcPr>
            <w:tcW w:w="99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on Consolidated Condensed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Fair</w:t>
              <w:br/>
              <w:t>Value</w:t>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hedged instruments:</w:t>
            </w:r>
          </w:p>
        </w:tc>
        <w:tc>
          <w:tcPr>
            <w:tcW w:w="28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contracts </w:t>
            </w:r>
          </w:p>
        </w:tc>
        <w:tc>
          <w:tcPr>
            <w:tcW w:w="2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2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forward foreign exchange contracts are subject to a master netting agreement and qualify for netting in the consolidated condensed balance sheets.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0"/>
        </w:rPr>
        <w:t>Fair Value Disclosure.</w:t>
      </w:r>
      <w:r>
        <w:rPr>
          <w:color w:val="000000"/>
        </w:rPr>
        <w:t xml:space="preserve"> </w:t>
      </w:r>
      <w:r>
        <w:rPr>
          <w:rFonts w:ascii="Times New Roman;serif" w:hAnsi="Times New Roman;serif"/>
          <w:b w:val="false"/>
          <w:color w:val="000000"/>
          <w:sz w:val="20"/>
        </w:rPr>
        <w:t>FASB guidance defines fair value and establishes a framework for measuring fair value and related disclosure requirements. This guidance applies when fair value measurements are required or permitted. The guidance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Fair value is defined based upon an exit price model.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0"/>
        </w:rPr>
        <w:t xml:space="preserve">Valuation Hierarchy. </w:t>
      </w:r>
      <w:r>
        <w:rPr>
          <w:rFonts w:ascii="Times New Roman;serif" w:hAnsi="Times New Roman;serif"/>
          <w:b w:val="false"/>
          <w:color w:val="000000"/>
          <w:sz w:val="20"/>
        </w:rPr>
        <w:t>A valuation hierarchy was established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quoted prices for identical or similar assets in markets that are not active, inputs other than quoted prices that are observable for the asset or liability, including interest rates, yield curves and credit risks, or inputs that are derived principally from or corroborated by observable market data through correlation.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 There have been no significant changes in the assumptions.</w:t>
      </w:r>
    </w:p>
    <w:p>
      <w:pPr>
        <w:pStyle w:val="TextBody"/>
        <w:bidi w:val="0"/>
        <w:spacing w:lineRule="auto" w:line="288" w:before="0" w:after="0"/>
        <w:jc w:val="both"/>
        <w:rPr>
          <w:color w:val="000000"/>
        </w:rPr>
      </w:pPr>
      <w:r>
        <w:rPr>
          <w:color w:val="000000"/>
        </w:rPr>
        <w:t> </w:t>
      </w:r>
    </w:p>
    <w:p>
      <w:pPr>
        <w:pStyle w:val="TextBody"/>
        <w:bidi w:val="0"/>
        <w:spacing w:lineRule="auto" w:line="256" w:before="0" w:after="0"/>
        <w:ind w:left="0" w:right="0" w:firstLine="720"/>
        <w:jc w:val="both"/>
        <w:rPr/>
      </w:pPr>
      <w:r>
        <w:rPr>
          <w:rFonts w:ascii="Times New Roman;serif" w:hAnsi="Times New Roman;serif"/>
          <w:b/>
          <w:color w:val="000000"/>
          <w:sz w:val="20"/>
        </w:rPr>
        <w:t xml:space="preserve">Valuation Techniques. </w:t>
      </w:r>
      <w:r>
        <w:rPr>
          <w:rFonts w:ascii="Times New Roman;serif" w:hAnsi="Times New Roman;serif"/>
          <w:b w:val="false"/>
          <w:color w:val="000000"/>
          <w:sz w:val="20"/>
        </w:rPr>
        <w:t>Assets and liabilities carried at fair value and measured on a recurring basis as of June 30, 2026 consist of forward foreign exchange contracts and contingent consideration. The Company values its forward foreign exchange contracts using quoted prices for similar assets. The most significant assumption is quoted currency rates. The value of the forward foreign exchange contract assets and liabilities were valued using Level 2 inputs and are listed in the table above.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values contingent consideration from its acquisitions of In2Bones, Global Inc. ("In2Bones") and Biorez, Inc. ("Biorez") using Level 3 inputs. The contingent consideration was recorded at fair value at the date of acquisition based on the consideration expected to be transferred, estimated as the probability-weighted future cash flows, discounted back to present value. The fair value of contingent consideration is measured using projected payment dates, discount rates, revenue volatilities and projected revenues. The earn-out period for In2Bones ended on June 30, 2026. The recurring Level 3 fair value measurements of contingent consideration for which the Biorez liability is recorded includes the following significant unobservable inputs as of June 30, 2026:</w:t>
      </w:r>
    </w:p>
    <w:p>
      <w:pPr>
        <w:pStyle w:val="TextBody"/>
        <w:bidi w:val="0"/>
        <w:spacing w:before="0" w:after="0"/>
        <w:ind w:left="0" w:right="0" w:firstLine="720"/>
        <w:jc w:val="both"/>
        <w:rPr/>
      </w:pPr>
      <w:r>
        <w:rPr/>
      </w:r>
    </w:p>
    <w:tbl>
      <w:tblPr>
        <w:tblW w:w="3340" w:type="dxa"/>
        <w:jc w:val="left"/>
        <w:tblInd w:w="0" w:type="dxa"/>
        <w:tblLayout w:type="fixed"/>
        <w:tblCellMar>
          <w:top w:w="28" w:type="dxa"/>
          <w:left w:w="28" w:type="dxa"/>
          <w:bottom w:w="28" w:type="dxa"/>
          <w:right w:w="28" w:type="dxa"/>
        </w:tblCellMar>
      </w:tblPr>
      <w:tblGrid>
        <w:gridCol w:w="810"/>
        <w:gridCol w:w="711"/>
        <w:gridCol w:w="713"/>
        <w:gridCol w:w="109"/>
        <w:gridCol w:w="109"/>
        <w:gridCol w:w="109"/>
        <w:gridCol w:w="228"/>
        <w:gridCol w:w="228"/>
        <w:gridCol w:w="323"/>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Biorez</w:t>
            </w:r>
          </w:p>
        </w:tc>
      </w:tr>
      <w:tr>
        <w:trPr/>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12.10%</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19.79%</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year of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Adjustments to the fair value of contingent consideration for In2Bones were driven principally by the level of In2Bones revenue resulting in the elimination of the liability upon the completion of the earn-out period at June 30, 2026. Adjustments to the fair value of contingent consideration for Biorez mainly relate to the passage of time. Changes in the fair value of contingent consideration liabilities for the six months ended June 30, 2026 and 2025 are as follows:</w:t>
      </w:r>
    </w:p>
    <w:p>
      <w:pPr>
        <w:pStyle w:val="TextBody"/>
        <w:bidi w:val="0"/>
        <w:spacing w:before="0" w:after="0"/>
        <w:jc w:val="both"/>
        <w:rPr/>
      </w:pPr>
      <w:r>
        <w:rPr/>
      </w:r>
    </w:p>
    <w:tbl>
      <w:tblPr>
        <w:tblW w:w="8679" w:type="dxa"/>
        <w:jc w:val="left"/>
        <w:tblInd w:w="0" w:type="dxa"/>
        <w:tblLayout w:type="fixed"/>
        <w:tblCellMar>
          <w:top w:w="28" w:type="dxa"/>
          <w:left w:w="28" w:type="dxa"/>
          <w:bottom w:w="28" w:type="dxa"/>
          <w:right w:w="28" w:type="dxa"/>
        </w:tblCellMar>
      </w:tblPr>
      <w:tblGrid>
        <w:gridCol w:w="1501"/>
        <w:gridCol w:w="1314"/>
        <w:gridCol w:w="1324"/>
        <w:gridCol w:w="211"/>
        <w:gridCol w:w="616"/>
        <w:gridCol w:w="109"/>
        <w:gridCol w:w="211"/>
        <w:gridCol w:w="721"/>
        <w:gridCol w:w="109"/>
        <w:gridCol w:w="109"/>
        <w:gridCol w:w="109"/>
        <w:gridCol w:w="109"/>
        <w:gridCol w:w="211"/>
        <w:gridCol w:w="721"/>
        <w:gridCol w:w="109"/>
        <w:gridCol w:w="211"/>
        <w:gridCol w:w="721"/>
        <w:gridCol w:w="109"/>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In2Bones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Biorez</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Contingent consideration of $33.2 million and $61.4 million is included in other current liabilities in the consolidated condensed balance sheet at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our consolidated condensed balance sheets for cash and cash equivalents, accounts receivable, accounts payable and variable long-term debt approximate fair value.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7 - Inventories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w:t>
      </w:r>
    </w:p>
    <w:p>
      <w:pPr>
        <w:pStyle w:val="TextBody"/>
        <w:bidi w:val="0"/>
        <w:spacing w:before="0" w:after="0"/>
        <w:ind w:left="0" w:right="0" w:firstLine="720"/>
        <w:jc w:val="both"/>
        <w:rPr/>
      </w:pPr>
      <w:r>
        <w:rPr/>
      </w:r>
    </w:p>
    <w:tbl>
      <w:tblPr>
        <w:tblW w:w="4233" w:type="dxa"/>
        <w:jc w:val="left"/>
        <w:tblInd w:w="0" w:type="dxa"/>
        <w:tblLayout w:type="fixed"/>
        <w:tblCellMar>
          <w:top w:w="28" w:type="dxa"/>
          <w:left w:w="28" w:type="dxa"/>
          <w:bottom w:w="28" w:type="dxa"/>
          <w:right w:w="28" w:type="dxa"/>
        </w:tblCellMar>
      </w:tblPr>
      <w:tblGrid>
        <w:gridCol w:w="527"/>
        <w:gridCol w:w="462"/>
        <w:gridCol w:w="467"/>
        <w:gridCol w:w="211"/>
        <w:gridCol w:w="826"/>
        <w:gridCol w:w="109"/>
        <w:gridCol w:w="109"/>
        <w:gridCol w:w="109"/>
        <w:gridCol w:w="109"/>
        <w:gridCol w:w="231"/>
        <w:gridCol w:w="905"/>
        <w:gridCol w:w="168"/>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115,580 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109,630 </w:t>
            </w:r>
          </w:p>
        </w:tc>
        <w:tc>
          <w:tcPr>
            <w:tcW w:w="16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360,179 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355,544 </w:t>
            </w:r>
          </w:p>
        </w:tc>
        <w:tc>
          <w:tcPr>
            <w:tcW w:w="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8 - Earnings Per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(“basic EPS”) is computed by dividing net income by the weighted average number of common shares outstanding for the reporting period. Diluted earnings per share (“diluted EPS”) gives effect to all dilutive potential shares.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computation of basic and diluted earnings per share for the three and six months ended June 30, 2026 and 2025:</w:t>
      </w:r>
    </w:p>
    <w:p>
      <w:pPr>
        <w:pStyle w:val="TextBody"/>
        <w:bidi w:val="0"/>
        <w:spacing w:before="0" w:after="0"/>
        <w:ind w:left="0" w:right="0" w:firstLine="720"/>
        <w:jc w:val="both"/>
        <w:rPr/>
      </w:pPr>
      <w:r>
        <w:rPr/>
      </w:r>
    </w:p>
    <w:tbl>
      <w:tblPr>
        <w:tblW w:w="9492"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1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shares used in the calculation of diluted EPS exclude stock options, stock appreciation rights, restricted stock units, and performance share units to purchase shares where the exercise price was greater than the average market price of common shares for the period and the effect of the inclusion would be anti-dilutive. Such shares aggregated approximately 4.5 million and 4.4 million for the three and six months ended June 30, 2026, respectively, and 4.1 million and 3.9 million for the three and six months ended June 30,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9 - Goodwill and Other Intangible Assets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the net carrying amount of goodwill for the six months ended June 30, 2026 are as follows:</w:t>
      </w:r>
    </w:p>
    <w:p>
      <w:pPr>
        <w:pStyle w:val="TextBody"/>
        <w:bidi w:val="0"/>
        <w:spacing w:before="0" w:after="0"/>
        <w:ind w:left="0" w:right="0" w:firstLine="720"/>
        <w:jc w:val="both"/>
        <w:rPr/>
      </w:pPr>
      <w:r>
        <w:rPr/>
      </w:r>
    </w:p>
    <w:tbl>
      <w:tblPr>
        <w:tblW w:w="4295" w:type="dxa"/>
        <w:jc w:val="left"/>
        <w:tblInd w:w="0" w:type="dxa"/>
        <w:tblLayout w:type="fixed"/>
        <w:tblCellMar>
          <w:top w:w="28" w:type="dxa"/>
          <w:left w:w="28" w:type="dxa"/>
          <w:bottom w:w="28" w:type="dxa"/>
          <w:right w:w="28" w:type="dxa"/>
        </w:tblCellMar>
      </w:tblPr>
      <w:tblGrid>
        <w:gridCol w:w="1124"/>
        <w:gridCol w:w="987"/>
        <w:gridCol w:w="993"/>
        <w:gridCol w:w="211"/>
        <w:gridCol w:w="82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Write-off related to sale of a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796,902 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of acquired businesses are recorded at their estimated fair values as of the date of acquisition.  Goodwill represents costs in excess of fair values assigned to the underlying net assets of acquired businesses.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Company completed the sale of additional assets, which constituted a business, related to the gastroenterology product offerings for $14.0 million. As this transaction was determined to be the sale of a business, we wrote off $9.8 million of goodwill, which resulted in a $4.4 million loss on the sale recorded to selling and administrative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 of the following:</w:t>
      </w:r>
    </w:p>
    <w:p>
      <w:pPr>
        <w:pStyle w:val="TextBody"/>
        <w:bidi w:val="0"/>
        <w:spacing w:before="0" w:after="0"/>
        <w:ind w:left="0" w:right="0" w:firstLine="315"/>
        <w:jc w:val="both"/>
        <w:rPr/>
      </w:pPr>
      <w:r>
        <w:rPr/>
      </w:r>
    </w:p>
    <w:tbl>
      <w:tblPr>
        <w:tblW w:w="10205" w:type="dxa"/>
        <w:jc w:val="left"/>
        <w:tblInd w:w="0" w:type="dxa"/>
        <w:tblLayout w:type="fixed"/>
        <w:tblCellMar>
          <w:top w:w="28" w:type="dxa"/>
          <w:left w:w="28" w:type="dxa"/>
          <w:bottom w:w="28" w:type="dxa"/>
          <w:right w:w="28" w:type="dxa"/>
        </w:tblCellMar>
      </w:tblPr>
      <w:tblGrid>
        <w:gridCol w:w="928"/>
        <w:gridCol w:w="597"/>
        <w:gridCol w:w="601"/>
        <w:gridCol w:w="655"/>
        <w:gridCol w:w="655"/>
        <w:gridCol w:w="656"/>
        <w:gridCol w:w="211"/>
        <w:gridCol w:w="976"/>
        <w:gridCol w:w="109"/>
        <w:gridCol w:w="109"/>
        <w:gridCol w:w="109"/>
        <w:gridCol w:w="109"/>
        <w:gridCol w:w="226"/>
        <w:gridCol w:w="902"/>
        <w:gridCol w:w="118"/>
        <w:gridCol w:w="109"/>
        <w:gridCol w:w="109"/>
        <w:gridCol w:w="109"/>
        <w:gridCol w:w="211"/>
        <w:gridCol w:w="976"/>
        <w:gridCol w:w="109"/>
        <w:gridCol w:w="109"/>
        <w:gridCol w:w="109"/>
        <w:gridCol w:w="109"/>
        <w:gridCol w:w="225"/>
        <w:gridCol w:w="900"/>
        <w:gridCol w:w="169"/>
      </w:tblGrid>
      <w:tr>
        <w:trPr/>
        <w:tc>
          <w:tcPr>
            <w:tcW w:w="92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(Years)</w:t>
            </w:r>
          </w:p>
        </w:tc>
        <w:tc>
          <w:tcPr>
            <w:tcW w:w="12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with definite lives:</w:t>
            </w:r>
          </w:p>
        </w:tc>
        <w:tc>
          <w:tcPr>
            <w:tcW w:w="196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2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distributor relationships</w:t>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(221,904)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representation, marketing and promotional rights</w:t>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 intangible assets</w:t>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with indefinite lives:</w:t>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1,003,680 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(439,264)</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(428,870)</w:t>
            </w:r>
          </w:p>
        </w:tc>
        <w:tc>
          <w:tcPr>
            <w:tcW w:w="1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and distributor relationships, trademarks and tradenames, developed technology and patents and other intangible assets primarily represent allocations of purchase price to identifiable intangible assets of acquired businesses. Sales representation, marketing and promotional rights represent intangible assets created under our agreement with Musculoskeletal Transplant Foundation.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intangible assets which are subject to amortization totaled $8.7 million for both the three months ended June 30, 2026 and 2025, and $17.5 million and $17.3 million for the six months ended June 30, 2026 and 2025, respectively, and is included as a reduction of revenue (for amortization related to our sales representation, marketing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promotional rights) and in selling and administrative expense (for all other intangible assets) in the consolidated condensed statements of comprehensive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estimated intangible asset amortization expense remaining for the year ending December 31, 2026 and for each of the five succeeding years is as follows: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47"/>
        <w:gridCol w:w="480"/>
        <w:gridCol w:w="483"/>
        <w:gridCol w:w="577"/>
        <w:gridCol w:w="1977"/>
        <w:gridCol w:w="301"/>
        <w:gridCol w:w="109"/>
        <w:gridCol w:w="109"/>
        <w:gridCol w:w="109"/>
        <w:gridCol w:w="920"/>
        <w:gridCol w:w="2696"/>
        <w:gridCol w:w="480"/>
        <w:gridCol w:w="109"/>
        <w:gridCol w:w="109"/>
        <w:gridCol w:w="109"/>
        <w:gridCol w:w="211"/>
        <w:gridCol w:w="721"/>
        <w:gridCol w:w="158"/>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included in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recorded as a reduction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57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14,664 </w:t>
            </w:r>
          </w:p>
        </w:tc>
        <w:tc>
          <w:tcPr>
            <w:tcW w:w="30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9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17,664 </w:t>
            </w:r>
          </w:p>
        </w:tc>
        <w:tc>
          <w:tcPr>
            <w:tcW w:w="1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2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10 - Long-Term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92"/>
        <w:gridCol w:w="2212"/>
        <w:gridCol w:w="2226"/>
        <w:gridCol w:w="227"/>
        <w:gridCol w:w="893"/>
        <w:gridCol w:w="117"/>
        <w:gridCol w:w="109"/>
        <w:gridCol w:w="109"/>
        <w:gridCol w:w="109"/>
        <w:gridCol w:w="284"/>
        <w:gridCol w:w="1116"/>
        <w:gridCol w:w="211"/>
      </w:tblGrid>
      <w:tr>
        <w:trPr/>
        <w:tc>
          <w:tcPr>
            <w:tcW w:w="259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227"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193,000 </w:t>
            </w:r>
          </w:p>
        </w:tc>
        <w:tc>
          <w:tcPr>
            <w:tcW w:w="117"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A-1 Loan, net of deferred debt issuance costs of $168 and $218 in 2026 and 2025, respectively</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A-2 Loan, net of deferred debt issuance costs of $3,474 in 2026</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2.250% convertible notes, net of deferred debt issuance costs of $768 and $6,073 in 2026 and 2025, respectively</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834,249 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834,942 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657,050 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834,230 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Eighth Amended and Restated Senior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10, 2025, we entered into an eighth amended and restated senior credit agreement consisting of: (a) a $100.0 million term loan facility ("Term A-1 Loan") and (b) a $650.0 million revolving credit facility. On May 27, 2026, we entered into the first amendment to the eighth amended and restated senior credit agreement to obtain additional commitments for a senior secured delayed draw term loan facility of $450 million ("Term A-2 Loan"). The revolving credit facility will terminate and the loans outstanding under both term loan facilities will expire on June 10, 2030.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A-1 Loan was payable in quarterly installments increasing over the term of the facility with the remaining outstanding balance due at maturity. During 2025, we made $60 million in prepayments on the Term A-1 Loan facility resulting in the elimination of such quarterly payments. Proceeds from the Term A-1 Loan facility and borrowings under the revolving credit facility were used to repay the then existing senior credit agreement. On June 12, 2026, we borrowed $450.0 million under the Term A-2 Loan. The Term A-2 Loan is payable in quarterly installments increasing over the term of the facility with the remaining outstanding balance due at maturity. Proceeds from the Term A-2 Loan facility and borrowings under the revolving credit facility were used to repurchase a portion of the 2.250% convertible notes (the "2.250%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rates are at the Term Secured Overnight Financing Rate (3.688% at June 30, 2026) plus an interest rate margin of 1.125% (4.813% at June 30, 2026) for the Term A-1 Loan and revolving credit facility. For borrowings where we elect to use the alternate base rate, the initial base rate is the greatest of (i) the Prime Rate, (ii) the New York Federal Reserve Bank Rate plus 0.50% or (iii) the one-month Term SOFR plus 1.00%, plus, in each case, an interest rate margin. For the Term A-2 Loan the interest rate is at the Term Secured Overnight Financing Rate priced at origination (3.625%) plus an interest rate margin of 1.750% (5.375% at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$40.0 million in borrowings outstanding on the Term A-1 Loan and $450.0 million in borrowings outstanding on the Term A-2 Loan as of June 30, 2026. There were $193.0 million in borrowings outstanding under the revolving credit facility as of June 30, 2026. Our available borrowings on the revolving credit facility at June 30, 2026 were $455.5 million with approximately $1.5 million of the facility set aside for outstanding letters of credit. The carrying amounts of the term loan and revolving credit facility approximate fair value.</w:t>
      </w:r>
    </w:p>
    <w:p>
      <w:pPr>
        <w:pStyle w:val="TextBody"/>
        <w:bidi w:val="0"/>
        <w:spacing w:lineRule="auto" w:line="288" w:before="0" w:after="0"/>
        <w:jc w:val="both"/>
        <w:rPr>
          <w:color w:val="000000"/>
        </w:rPr>
      </w:pPr>
      <w:r>
        <w:rPr>
          <w:color w:val="000000"/>
        </w:rPr>
        <w:t>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eighth amended and restated senior credit agreement is collateralized by substantially all of our personal property and assets. The eighth amended and restated senior credit agreement contains covenants and restrictions which, among other things, require the maintenance of certain financial ratios and restrict dividend payments and the incurrence of certain indebtedness and other activities, including acquisitions and dispositions. We were in full compliance with these covenants and restrictions as of June 30, 2026. We are also required, under certain circumstances, to make mandatory prepayments with net cash proceeds from the incurrence of certain additional indebtedness, certain asset sales, or insurance proceeds or condemnation awards, in each case, subject to certain exceptions and reinvestment rights.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2.250% Convertible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6, 2022, we issued $800.0 million aggregate principal amount of 2.250% convertible notes (the "2.250% Notes"). Interest is payable semi-annually in arrears on June 15 and December 15 of each year, commencing December 15, 2022. The 2.250% Notes will mature on June 15, 2027, unless earlier repurchased or converted. The 2.250% Notes represent subordinated unsecured obligations and are convertible under certain circumstances, as defined in the indenture, into a combination of cash and CONMED common stock, with the principal required to be paid in cash. The 2.250% Notes may be converted at an initial conversion rate of 6.8810 shares of our common stock per $1,000 principal amount of the 2.250% Notes (equivalent to an initial conversion price of approximately $145.33 per share of common stock). Holders of the 2.250% Notes may convert the 2.250% Notes at their option at any time on or after March 15, 2027 through the second scheduled trading day preceding the maturity date. Holders of the 2.250% Notes will also have the right to convert the 2.250% Notes prior to March 15, 2027, but only upon the occurrence of specified events. The conversion rate is subject to anti-dilution adjustments if certain events occur. A portion of these proceeds were used to repurchase a portion of our then-outstanding 2.625% Convertible Notes (the "2.625% Notes"), pay off our then outstanding balance on our revolving line of credit, pay down of $90.0 million of our then outstanding term loan and partially pay for the In2Bones Global, Inc. acquisition. In addition, approximately $115.6 million of the proceeds were used to pay the cost of certain convertible notes hedge transactions related to the 2.250%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15, 2026, the Company repurchased $645.2 million principal amount of the 2.250% Notes for cash consideration of $637.2 million. During the three and six months ended June 30, 2026, the Company recorded a gain on extinguishment of $8.1 million to other income. We also recorded to other expense a write-off of unamortized debt issuance costs related to the 2.250% Notes of $3.5 million and professional fees of $1.8 million.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the three months ended June 30, 2026 and 2025, we have recorded interest expense on the 2.250% Notes of</w:t>
      </w:r>
      <w:r>
        <w:rPr>
          <w:color w:val="000000"/>
        </w:rPr>
        <w:t xml:space="preserve"> </w:t>
      </w:r>
      <w:r>
        <w:rPr>
          <w:rFonts w:ascii="Times New Roman;serif" w:hAnsi="Times New Roman;serif"/>
          <w:b w:val="false"/>
          <w:color w:val="000000"/>
          <w:sz w:val="20"/>
        </w:rPr>
        <w:t>$3.9 million and $4.5 million, respectively, and for the six months ended June 30, 2026 and 2025 we have recorded interest expense on the 2.250% Notes of $8.4 million and $9.0 million, respectively, at the contractual coupon rate of 2.250%.</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estimated fair value of the remaining 2.250% Notes was approximately $151.3 million as of June 30, 2026 based on a market approach which represents a Level 2 valuation in the fair value hierarchy.</w:t>
      </w:r>
      <w:r>
        <w:rPr>
          <w:color w:val="000000"/>
        </w:rPr>
        <w:t xml:space="preserve"> </w:t>
      </w:r>
      <w:r>
        <w:rPr>
          <w:rFonts w:ascii="Times New Roman;serif" w:hAnsi="Times New Roman;serif"/>
          <w:b w:val="false"/>
          <w:color w:val="000000"/>
          <w:sz w:val="20"/>
        </w:rPr>
        <w:t>The estimated fair value was determined based on the estimated or actual bids and offers of the 2.250% Notes in an over-the-counter market transaction on the last business day of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Convertible Notes Hedge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2.250% Notes, we entered into convertible notes hedge transactions with a number of financial institutions (each, an “option counterparty”). The convertible notes hedge transactions cover, subject to anti-dilution adjustments substantially similar to those applicable to the 2.250% Notes, the number of shares of our common stock underlying the 2.250% Notes. Concurrent with entering into the convertible notes hedge transactions, we also entered into separate warrant transactions with each option counterparty whereby we sold to such option counterparty warrants to purchase, subject to customary anti-dilution adjustments, the same number of shares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repurchase of $645.2 million principal amount of the 2.250% Notes, the Company entered into agreements with the option counterparties to terminate a corresponding portion of the hedges and warrants on the 2.250% Notes. The transactions had an immaterial net fair value due to the Company which was recorded as an adjustment to Paid-in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convertible notes hedge transactions are expected generally to reduce the potential dilution upon conversion of the 2.250% Notes and/or offset any cash payments we are required to make in excess of the principal amount of converted 2.250% Notes, as the case may be, in the event that the market price per share of our common stock, as measured under the terms of the convertible notes hedge transactions, is greater than the strike price of the convertible notes hedge transactions, which initially corresponds to the conversion price of the 2.250% Notes and is subject to anti-dilution adjustments substantially similar to those applicable to the conversion rate of the 2.250% Notes. If, however, the market price per share of our common stock, as measured under the terms of the warrant transactions, exceeds the strike price ($251.53) of the warrants, there would nevertheless be dilution to the extent that such market price exceeds the strike price of the warrants, unless we elect to settle the warrants in cash.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scheduled maturities of long-term debt outstanding at June 30, 2026 are as follows:</w:t>
      </w:r>
    </w:p>
    <w:p>
      <w:pPr>
        <w:pStyle w:val="TextBody"/>
        <w:bidi w:val="0"/>
        <w:spacing w:before="0" w:after="0"/>
        <w:jc w:val="both"/>
        <w:rPr/>
      </w:pPr>
      <w:r>
        <w:rPr/>
      </w:r>
    </w:p>
    <w:tbl>
      <w:tblPr>
        <w:tblW w:w="2615" w:type="dxa"/>
        <w:jc w:val="left"/>
        <w:tblInd w:w="0" w:type="dxa"/>
        <w:tblLayout w:type="fixed"/>
        <w:tblCellMar>
          <w:top w:w="28" w:type="dxa"/>
          <w:left w:w="28" w:type="dxa"/>
          <w:bottom w:w="28" w:type="dxa"/>
          <w:right w:w="28" w:type="dxa"/>
        </w:tblCellMar>
      </w:tblPr>
      <w:tblGrid>
        <w:gridCol w:w="554"/>
        <w:gridCol w:w="486"/>
        <w:gridCol w:w="489"/>
        <w:gridCol w:w="211"/>
        <w:gridCol w:w="721"/>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above amounts exclude deferred debt issuance costs and finance leases.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and cash equivalents, cash flows generated from operations, and borrowing capacity available under the eighth amended and restated senior credit agreement will be sufficient to meet our future cash requirements for at least the next twelve months from the filing of this quarterly report on Form 10-Q.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11 - Guarantees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warranties on certain of our products at the time of sale and sell extended warranties. The standard warranty period for our capital equipment is generally one year and our extended warranties typically vary from one to three years. Liability under service and warranty policies is based upon a review of historical warranty and service claim experience. Adjustments are made to accruals as claim data and historical experience warrant.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liability for standard warranties for the six months ended June 30, are as follows:</w:t>
      </w:r>
    </w:p>
    <w:p>
      <w:pPr>
        <w:pStyle w:val="TextBody"/>
        <w:bidi w:val="0"/>
        <w:spacing w:before="0" w:after="0"/>
        <w:ind w:left="0" w:right="0" w:firstLine="720"/>
        <w:jc w:val="both"/>
        <w:rPr/>
      </w:pPr>
      <w:r>
        <w:rPr/>
      </w:r>
    </w:p>
    <w:tbl>
      <w:tblPr>
        <w:tblW w:w="4313" w:type="dxa"/>
        <w:jc w:val="left"/>
        <w:tblInd w:w="0" w:type="dxa"/>
        <w:tblLayout w:type="fixed"/>
        <w:tblCellMar>
          <w:top w:w="28" w:type="dxa"/>
          <w:left w:w="28" w:type="dxa"/>
          <w:bottom w:w="28" w:type="dxa"/>
          <w:right w:w="28" w:type="dxa"/>
        </w:tblCellMar>
      </w:tblPr>
      <w:tblGrid>
        <w:gridCol w:w="750"/>
        <w:gridCol w:w="657"/>
        <w:gridCol w:w="662"/>
        <w:gridCol w:w="211"/>
        <w:gridCol w:w="616"/>
        <w:gridCol w:w="109"/>
        <w:gridCol w:w="109"/>
        <w:gridCol w:w="109"/>
        <w:gridCol w:w="109"/>
        <w:gridCol w:w="211"/>
        <w:gridCol w:w="616"/>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warranties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made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Costs associated with extended warranty repairs are recorded as incurred and amounted to $2.4 million and $2.2 million for the six months ended June 30,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12 - Pension Plan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periodic pension cost consists of the following: </w:t>
      </w:r>
    </w:p>
    <w:p>
      <w:pPr>
        <w:pStyle w:val="TextBody"/>
        <w:bidi w:val="0"/>
        <w:spacing w:before="0" w:after="0"/>
        <w:ind w:left="0" w:right="0" w:firstLine="720"/>
        <w:jc w:val="both"/>
        <w:rPr/>
      </w:pPr>
      <w:r>
        <w:rPr/>
      </w:r>
    </w:p>
    <w:tbl>
      <w:tblPr>
        <w:tblW w:w="9048" w:type="dxa"/>
        <w:jc w:val="left"/>
        <w:tblInd w:w="0" w:type="dxa"/>
        <w:tblLayout w:type="fixed"/>
        <w:tblCellMar>
          <w:top w:w="28" w:type="dxa"/>
          <w:left w:w="28" w:type="dxa"/>
          <w:bottom w:w="28" w:type="dxa"/>
          <w:right w:w="28" w:type="dxa"/>
        </w:tblCellMar>
      </w:tblPr>
      <w:tblGrid>
        <w:gridCol w:w="1329"/>
        <w:gridCol w:w="1168"/>
        <w:gridCol w:w="1178"/>
        <w:gridCol w:w="291"/>
        <w:gridCol w:w="644"/>
        <w:gridCol w:w="150"/>
        <w:gridCol w:w="150"/>
        <w:gridCol w:w="150"/>
        <w:gridCol w:w="150"/>
        <w:gridCol w:w="291"/>
        <w:gridCol w:w="644"/>
        <w:gridCol w:w="150"/>
        <w:gridCol w:w="109"/>
        <w:gridCol w:w="109"/>
        <w:gridCol w:w="109"/>
        <w:gridCol w:w="263"/>
        <w:gridCol w:w="582"/>
        <w:gridCol w:w="136"/>
        <w:gridCol w:w="136"/>
        <w:gridCol w:w="136"/>
        <w:gridCol w:w="136"/>
        <w:gridCol w:w="263"/>
        <w:gridCol w:w="582"/>
        <w:gridCol w:w="192"/>
      </w:tblGrid>
      <w:tr>
        <w:trPr/>
        <w:tc>
          <w:tcPr>
            <w:tcW w:w="132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92"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cost on projected benefit obligation</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amortization and deferral</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2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9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expect to make any pension contributions during 2026. Non-service pension cost/(benefit) was immaterial for the three and six months ended June 30, 2026 and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13 - Business Segment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and report our business as a single operating segment entity engaged in the development, manufacturing and sale on a global basis of surgical devices and related equipment. The Company derives revenue globally and manages the business on a consolidated basis due to shared infrastructure and resources. Our chief operating decision maker ("CODM"), the President and Chief Executive Officer, evaluates the various global product portfolios on a net sales basis and evaluates profitability, investment, cash flow metrics and allocates resources on a consolidated worldwide basis.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lines consist of orthopedic surgery and general surgery. Orthopedic surgery consists of sports medicine and lower extremities instrumentation and implants, small bone, large bone and specialty powered surgical instruments as well as imaging systems for use in minimally invasive surgical procedures and fees related to sales representation, promotion and marketing of sports medicine allograft tissue. General surgery consists of a complete line of endo-mechanical instrumentation for minimally invasive laparoscopic procedures, clinical insufflation, smoke evacuation devices, a line of cardiac monitoring products as well as electrosurgical generators and related instruments. These product lines' net sales are as follows:</w:t>
      </w:r>
    </w:p>
    <w:tbl>
      <w:tblPr>
        <w:tblW w:w="7564" w:type="dxa"/>
        <w:jc w:val="left"/>
        <w:tblInd w:w="0" w:type="dxa"/>
        <w:tblLayout w:type="fixed"/>
        <w:tblCellMar>
          <w:top w:w="28" w:type="dxa"/>
          <w:left w:w="28" w:type="dxa"/>
          <w:bottom w:w="28" w:type="dxa"/>
          <w:right w:w="28" w:type="dxa"/>
        </w:tblCellMar>
      </w:tblPr>
      <w:tblGrid>
        <w:gridCol w:w="706"/>
        <w:gridCol w:w="621"/>
        <w:gridCol w:w="623"/>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1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Orthopedic surgery</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140,734 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299,978 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279,024 </w:t>
            </w:r>
          </w:p>
        </w:tc>
        <w:tc>
          <w:tcPr>
            <w:tcW w:w="154"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surgery</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significant segment expenses:</w:t>
      </w:r>
    </w:p>
    <w:tbl>
      <w:tblPr>
        <w:tblW w:w="10205" w:type="dxa"/>
        <w:jc w:val="left"/>
        <w:tblInd w:w="0" w:type="dxa"/>
        <w:tblLayout w:type="fixed"/>
        <w:tblCellMar>
          <w:top w:w="28" w:type="dxa"/>
          <w:left w:w="28" w:type="dxa"/>
          <w:bottom w:w="28" w:type="dxa"/>
          <w:right w:w="28" w:type="dxa"/>
        </w:tblCellMar>
      </w:tblPr>
      <w:tblGrid>
        <w:gridCol w:w="1719"/>
        <w:gridCol w:w="1456"/>
        <w:gridCol w:w="1416"/>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6"/>
      </w:tblGrid>
      <w:tr>
        <w:trPr/>
        <w:tc>
          <w:tcPr>
            <w:tcW w:w="171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Cost of sales</w:t>
            </w:r>
            <w:r>
              <w:rPr>
                <w:rFonts w:ascii="Times New Roman;serif" w:hAnsi="Times New Roman;serif"/>
                <w:b w:val="false"/>
                <w:color w:val="000000"/>
                <w:sz w:val="13"/>
              </w:rPr>
              <w:t>(a)</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Salesforce and commission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to fair value of contingent consideration liability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Research and development expense</w:t>
            </w:r>
            <w:r>
              <w:rPr>
                <w:rFonts w:ascii="Times New Roman;serif" w:hAnsi="Times New Roman;serif"/>
                <w:b w:val="false"/>
                <w:color w:val="000000"/>
                <w:sz w:val="13"/>
              </w:rPr>
              <w:t>(b)</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Other segment items</w:t>
            </w:r>
            <w:r>
              <w:rPr>
                <w:rFonts w:ascii="Times New Roman;serif" w:hAnsi="Times New Roman;serif"/>
                <w:b w:val="false"/>
                <w:color w:val="000000"/>
                <w:sz w:val="13"/>
              </w:rPr>
              <w:t>(c)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(a)</w:t>
      </w:r>
      <w:r>
        <w:rPr>
          <w:rFonts w:ascii="Times New Roman;serif" w:hAnsi="Times New Roman;serif"/>
          <w:b w:val="false"/>
          <w:color w:val="000000"/>
          <w:sz w:val="16"/>
        </w:rPr>
        <w:t>Cost of sales in 2026 includes a charge for inventory, equipment, and tooling related to the discontinuation of certain products for the three and six months ended June 30, 2026 and a benefit from the early termination of our distribution agreement with W.L. Gore &amp; Associates, Inc for the six months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(b)</w:t>
      </w:r>
      <w:r>
        <w:rPr>
          <w:rFonts w:ascii="Times New Roman;serif" w:hAnsi="Times New Roman;serif"/>
          <w:b w:val="false"/>
          <w:color w:val="000000"/>
          <w:sz w:val="16"/>
        </w:rPr>
        <w:t>Research and development expense includes costs to comply with the European Union's Medical Device Regulations in the three and six months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(c)</w:t>
      </w:r>
      <w:r>
        <w:rPr>
          <w:rFonts w:ascii="Times New Roman;serif" w:hAnsi="Times New Roman;serif"/>
          <w:b w:val="false"/>
          <w:color w:val="000000"/>
          <w:sz w:val="16"/>
        </w:rPr>
        <w:t>Other segment items consist of (i) consulting fees, legal fees, and other costs related to operational optimization in the three and six months ended June 30, 2026 and 2025; (ii) cash compensation costs related to advisory services provided by our former Chief Financial Officer and Chief Executive Officer in the six months ended June 30, 2026 and 2025, respectively; (iii) loss from the sale of additional assets related to the gastroenterology product offerings which was recorded as a sale of a business in the three and six months ended June 30, 2026; (iv) a gain from the sale of certain assets related to gastroenterology products in the three and six months ended June 30, 2026; (v) third party services pertaining to the review of potential issues with certain royalty payments to surgeons involved in design teams in three and six months ended June 30, 2025; and (vi) gain on the sale of a product offering in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assets for the Company's single operating segment are the same as presented on the Company's consolidated balance sheet, which is used to measure segment performance.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Note 14 - Legal Proceedings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the ordinary course of business, we are involved in various legal actions involving product liability, employment, intellectual property and commercial disputes, stockholder related matters, environmental proceedings, tax disputes, and governmental proceedings and investigations. We do not expect that the resolution of any pending claims, investigations or reports of alleged misconduct will have a material adverse effect on our financial condition, results of operations or cash flows.</w:t>
      </w:r>
      <w:r>
        <w:rPr>
          <w:color w:val="000000"/>
        </w:rPr>
        <w:t xml:space="preserve"> </w:t>
      </w:r>
      <w:r>
        <w:rPr>
          <w:rFonts w:ascii="Times New Roman;serif" w:hAnsi="Times New Roman;serif"/>
          <w:b w:val="false"/>
          <w:color w:val="000000"/>
          <w:sz w:val="20"/>
        </w:rPr>
        <w:t>There can be no assurance, however, that future claims, investigations, or reports of alleged misconduct, or the costs associated with responding to such claims, investigations or reports of alleged misconduct, especially when not covered by insurance, will not have a material adverse effect on our financial condition, results of operations or cash flows.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reserves sufficient to cover probable and estimable losses associated with pending claims.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further description of our legal proceedings, reference is made to Note 13, “Legal Proceedings” in the Notes to the Consolidated Financial Statements in our Annual Report on Form 10-K for the year ended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tbl>
      <w:tblPr>
        <w:tblW w:w="8065" w:type="dxa"/>
        <w:jc w:val="left"/>
        <w:tblInd w:w="0" w:type="dxa"/>
        <w:tblLayout w:type="fixed"/>
        <w:tblCellMar>
          <w:top w:w="28" w:type="dxa"/>
          <w:left w:w="28" w:type="dxa"/>
          <w:bottom w:w="28" w:type="dxa"/>
          <w:right w:w="28" w:type="dxa"/>
        </w:tblCellMar>
      </w:tblPr>
      <w:tblGrid>
        <w:gridCol w:w="255"/>
        <w:gridCol w:w="223"/>
        <w:gridCol w:w="226"/>
        <w:gridCol w:w="2328"/>
        <w:gridCol w:w="2328"/>
        <w:gridCol w:w="2333"/>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Item 2.</w:t>
            </w:r>
          </w:p>
        </w:tc>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w:t>
              <w:br/>
              <w:t> AND RESULTS OF OPERATIONS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this Quarterly Report on Form 10-Q, we make forward-looking statements about our financial condition, results of operations and business. Forward-looking statements are statements made by us concerning events that may or may not occur in the future. These statements may be made directly in this document or may be “incorporated by reference” from other documents. Such statements may be identified by the use of words such as “anticipates”, “expects”, “estimates”, “intends” and “believes” and variations thereof and other terms of similar meaning.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involve known and unknown risks, uncertainties and other factors, including those that may cause our actual results, performance or achievements or industry results, to be materially different from any future results, performance or achievements expressed or implied by such forward-looking statements. Such factors include those identified under “Risk Factors” in our Annual Report on Form 10-K for the year ended December 31, 2025 and the following, among others: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economic and business conditions, including, without limitation, a potential economic downturn, supply chain challenges and constraints, including the availability and cost of materials, the effects of inflation, and increased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trade protection measures, tariffs and other border taxes, and import or export licensing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and changes in laws and regulatory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failure of any enterprise-wide software programs or information technology systems, or potential disruption associated with updating or implementing new software programs or information technology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of an information security breach, including a cybersecurity breach;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pandemics and health crises, and the responses thereto by governments and hospitals;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possibility that United States or foreign regulatory and/or administrative agencies may initiate enforcement actions against us or our distributors;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introduction and acceptance of new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ability to advance our product lines, including challenges and uncertainties inherent in product research and development, and the uncertain impact, outcome and cost of ongoing and future clinical trials and market studies;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customer preferences;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cyclical customer purchasing patterns due to budgetary, staffing and other constraints;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environmental compliance risks, including lack of availability of sterilization with Ethylene Oxide (“EtO”) or other compliance costs associated with the use of EtO;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quality of our management and business abilities and the judgment of our personnel, as well as our ability to attract, motivate and retain employees at all levels of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terms and deployment of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current and future levels of indebtedness and capital spending;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foreign exchange and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evaluate, finance and integrate acquired businesses, products and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business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divestitures of products or product portfolios;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 of a lack of allograft tissues due to reduced donations of such tissues or due to tissues not meeting the appropriate high standards for screening and/or processing of such tissues;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231F20"/>
          <w:sz w:val="20"/>
        </w:rPr>
        <w:t>the ability to defend and enforce intellectual property</w:t>
      </w:r>
      <w:r>
        <w:rPr>
          <w:rFonts w:ascii="Times New Roman;serif" w:hAnsi="Times New Roman;serif"/>
          <w:b w:val="false"/>
          <w:i/>
          <w:color w:val="231F20"/>
          <w:sz w:val="20"/>
        </w:rPr>
        <w:t>,</w:t>
      </w:r>
      <w:r>
        <w:rPr>
          <w:color w:val="231F20"/>
        </w:rPr>
        <w:t xml:space="preserve"> </w:t>
      </w:r>
      <w:r>
        <w:rPr>
          <w:rFonts w:ascii="Times New Roman;serif" w:hAnsi="Times New Roman;serif"/>
          <w:b w:val="false"/>
          <w:color w:val="231F20"/>
          <w:sz w:val="20"/>
        </w:rPr>
        <w:t>including the risks related to theft or compromise of intellectual property in connection with our international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of patent, product and other litigation, as well as the cost associated with such litigation;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weather related events which may disrupt our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below and “Risk Factors” and “Business” in our Annual Report on Form 10-K for the year ended December 31, 2025 for a further discussion of these factors. You are cautioned not to place undue reliance on these forward-looking statements, which speak only as of the date hereof. We do not undertake any obligation to publicly release any revisions to these forward-looking statements to reflect events or circumstances after the date of this Quarterly Report on Form 10-Q or to reflect the occurrence of unanticipated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Amounts reported in millions within this Quarterly Report on Form 10-Q are computed based on the amounts in thousands. As a result, the sum of the components may not equal the total amount reported in millions due to rounding. Certain columns and rows within tables may not add due to the use of rounded numbers. Percentages presented are calculated from the underlying unrounded amounts.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CONMED Corporation is a medical technology company that provides devices and equipment for surgical procedures. The Company’s products are used by surgeons and other healthcare professionals in a variety of specialties including orthopedics, general surgery, gynecology, and thoracic surgery.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product lines consist of orthopedic surgery and general surgery. Orthopedic surgery consists of sports medicine and lower extremities instrumentation and implants, small bone, large bone and specialty powered surgical instruments as well as imaging systems for use in minimally invasive surgery procedures and service fees related to the promotion and marketing of sports medicine allograft tissue. General surgery consists of a complete line of endo-mechanical instrumentation for minimally invasive laparoscopic procedures, clinical insufflation, smoke evacuation devices, a line of cardiac monitoring products as well as electrosurgical generators and related instruments. These product lines as a percentage of consolidated net sales are as follows:</w:t>
      </w:r>
    </w:p>
    <w:p>
      <w:pPr>
        <w:pStyle w:val="TextBody"/>
        <w:bidi w:val="0"/>
        <w:spacing w:lineRule="auto" w:line="288" w:before="0" w:after="0"/>
        <w:jc w:val="left"/>
        <w:rPr>
          <w:color w:val="000000"/>
        </w:rPr>
      </w:pPr>
      <w:r>
        <w:rPr>
          <w:color w:val="000000"/>
        </w:rPr>
        <w:t> </w:t>
      </w:r>
    </w:p>
    <w:tbl>
      <w:tblPr>
        <w:tblW w:w="7603" w:type="dxa"/>
        <w:jc w:val="left"/>
        <w:tblInd w:w="0" w:type="dxa"/>
        <w:tblLayout w:type="fixed"/>
        <w:tblCellMar>
          <w:top w:w="28" w:type="dxa"/>
          <w:left w:w="28" w:type="dxa"/>
          <w:bottom w:w="28" w:type="dxa"/>
          <w:right w:w="28" w:type="dxa"/>
        </w:tblCellMar>
      </w:tblPr>
      <w:tblGrid>
        <w:gridCol w:w="706"/>
        <w:gridCol w:w="621"/>
        <w:gridCol w:w="623"/>
        <w:gridCol w:w="282"/>
        <w:gridCol w:w="219"/>
        <w:gridCol w:w="545"/>
        <w:gridCol w:w="219"/>
        <w:gridCol w:w="219"/>
        <w:gridCol w:w="219"/>
        <w:gridCol w:w="282"/>
        <w:gridCol w:w="219"/>
        <w:gridCol w:w="545"/>
        <w:gridCol w:w="109"/>
        <w:gridCol w:w="109"/>
        <w:gridCol w:w="109"/>
        <w:gridCol w:w="253"/>
        <w:gridCol w:w="213"/>
        <w:gridCol w:w="488"/>
        <w:gridCol w:w="196"/>
        <w:gridCol w:w="196"/>
        <w:gridCol w:w="196"/>
        <w:gridCol w:w="253"/>
        <w:gridCol w:w="213"/>
        <w:gridCol w:w="569"/>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Orthopedic surgery</w:t>
            </w:r>
          </w:p>
        </w:tc>
        <w:tc>
          <w:tcPr>
            <w:tcW w:w="50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8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6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surgery</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50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 significant amount of our products are used in surgical procedures with approximate</w:t>
      </w:r>
      <w:r>
        <w:rPr>
          <w:rFonts w:ascii="Times New Roman;serif" w:hAnsi="Times New Roman;serif"/>
          <w:b w:val="false"/>
          <w:color w:val="000000"/>
          <w:sz w:val="20"/>
          <w:shd w:fill="FFFFFF" w:val="clear"/>
        </w:rPr>
        <w:t>ly</w:t>
      </w:r>
      <w:r>
        <w:rPr>
          <w:color w:val="000000"/>
        </w:rPr>
        <w:t xml:space="preserve"> </w:t>
      </w:r>
      <w:r>
        <w:rPr>
          <w:rFonts w:ascii="Times New Roman;serif" w:hAnsi="Times New Roman;serif"/>
          <w:b w:val="false"/>
          <w:color w:val="000000"/>
          <w:sz w:val="20"/>
        </w:rPr>
        <w:t>86% of our revenues derived from the sale of single-use products. Our capital equipment offerings also facilitate the ongoing sale of related single-use products and accessories, thus providing us with a recurring revenue stream. We manufacture substantially all of our products in facilities located in the United States and Mexico. We market our products both domestically and internationally directly to customers and through distributors. International sales approximated 47% and 44% of our</w:t>
      </w:r>
      <w:r>
        <w:rPr>
          <w:color w:val="000000"/>
          <w:shd w:fill="FFFFFF" w:val="clear"/>
        </w:rPr>
        <w:t xml:space="preserve"> </w:t>
      </w:r>
      <w:r>
        <w:rPr>
          <w:rFonts w:ascii="Times New Roman;serif" w:hAnsi="Times New Roman;serif"/>
          <w:b w:val="false"/>
          <w:color w:val="000000"/>
          <w:sz w:val="20"/>
          <w:shd w:fill="FFFFFF" w:val="clear"/>
        </w:rPr>
        <w:t>consolidated net sales duri</w:t>
      </w:r>
      <w:r>
        <w:rPr>
          <w:rFonts w:ascii="Times New Roman;serif" w:hAnsi="Times New Roman;serif"/>
          <w:b w:val="false"/>
          <w:color w:val="000000"/>
          <w:sz w:val="20"/>
        </w:rPr>
        <w:t>ng the six months ended June 30, 2026 and 2025, respectively.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Business Environment </w:t>
      </w:r>
    </w:p>
    <w:p>
      <w:pPr>
        <w:pStyle w:val="TextBody"/>
        <w:bidi w:val="0"/>
        <w:spacing w:lineRule="auto" w:line="288" w:before="0" w:after="0"/>
        <w:jc w:val="both"/>
        <w:rPr>
          <w:color w:val="000000"/>
        </w:rPr>
      </w:pPr>
      <w:r>
        <w:rPr>
          <w:color w:val="000000"/>
        </w:rPr>
        <w:t>    </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the Company has experienced higher manufacturing and operating costs as well as ongoing supply chain challenges. We continue to monitor our spending and expenses in light of these factors. We engaged a consulting firm during the past year to evaluate and propose improvements in our manufacturing operations. In addition, our results of operations are being impacted by tariffs placed on imported goods to the United States as well as exporting of products to other countries. During the first quarter of 2026, the Supreme Court ruled tariffs paid under the International Emergency Economic Powers Act ("IEEPA") were illegal. We have followed the process to submit refund claims for such payments and as a result received $10.2 million of IEEPA tariff refunds during the second quarter of 2026, of which $8.5 million was recorded in cost of goods sold and the remaining was recorded to inventory. See "Item 1A. Risk Factors" in our Annual Report on Form 10-K for the year ended December 31, 2025 for more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Company has not been materially impacted by the conflicts in Ukraine and the Middle East.</w:t>
      </w:r>
      <w:r>
        <w:rPr>
          <w:color w:val="000000"/>
        </w:rPr>
        <w:t xml:space="preserve"> </w:t>
      </w:r>
      <w:r>
        <w:rPr>
          <w:rFonts w:ascii="Times New Roman;serif" w:hAnsi="Times New Roman;serif"/>
          <w:b w:val="false"/>
          <w:color w:val="000000"/>
          <w:sz w:val="20"/>
        </w:rPr>
        <w:t>The Company has no direct operations in these regions with our business limited to selling to third party distributors. Total revenues and accounts receivable associated with sales to third party distributors in these regions are not material to the consolidated condensed financial statements. We will continue to monitor and adjust, if necessary, our business strategy in response to the conflicts in these regions.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5, 2025, we announced our intent to exit our gastroenterology product offerings as part of our portfolio optimization strategy. This included the termination of our distribution agreement with W.L. Gore &amp; Associates, Inc. ("Gore") for the Gore® VIABIL® biliary stent effective January 1, 2026; the sale of certain assets related to our gastroenterology product offerings during the first quarter of 2026; and the subsequent sale of additional assets related to the gastroenterology product offerings that was recorded as a sale of a business during the second quarter of 2026. In conjunction with the transaction in the second quarter, we entered into a manufacturing and supply agreement where CONMED will continue to manufacture certain gastroenterology products for the buyer for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Preparation of our financial statements requires us to make estimates and assumptions which affect the reported amounts of assets, liabilities, revenues and expenses. Note 1 to the Consolidated Financial Statements in our Annual Report on Form 10-K for the year ended December 31, 2025 describes the significant accounting policies used in preparation of the Consolidated Financial Statements. On an ongoing basis, we evaluate the critical accounting policies used to prepare our consolidated financial statements, including, but not limited to, those related to goodwill and intangible assets, contingent consideration and our pension benefit obligation.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as a percentage of net sales, certain categories included in our consolidated condensed statements of comprehensive income for the periods indicated:</w:t>
      </w:r>
    </w:p>
    <w:p>
      <w:pPr>
        <w:pStyle w:val="TextBody"/>
        <w:bidi w:val="0"/>
        <w:spacing w:before="0" w:after="0"/>
        <w:ind w:left="0" w:right="0" w:firstLine="720"/>
        <w:jc w:val="left"/>
        <w:rPr/>
      </w:pPr>
      <w:r>
        <w:rPr/>
      </w:r>
    </w:p>
    <w:tbl>
      <w:tblPr>
        <w:tblW w:w="9198" w:type="dxa"/>
        <w:jc w:val="left"/>
        <w:tblInd w:w="0" w:type="dxa"/>
        <w:tblLayout w:type="fixed"/>
        <w:tblCellMar>
          <w:top w:w="28" w:type="dxa"/>
          <w:left w:w="28" w:type="dxa"/>
          <w:bottom w:w="28" w:type="dxa"/>
          <w:right w:w="28" w:type="dxa"/>
        </w:tblCellMar>
      </w:tblPr>
      <w:tblGrid>
        <w:gridCol w:w="1291"/>
        <w:gridCol w:w="855"/>
        <w:gridCol w:w="869"/>
        <w:gridCol w:w="352"/>
        <w:gridCol w:w="264"/>
        <w:gridCol w:w="545"/>
        <w:gridCol w:w="219"/>
        <w:gridCol w:w="219"/>
        <w:gridCol w:w="219"/>
        <w:gridCol w:w="352"/>
        <w:gridCol w:w="264"/>
        <w:gridCol w:w="545"/>
        <w:gridCol w:w="109"/>
        <w:gridCol w:w="109"/>
        <w:gridCol w:w="109"/>
        <w:gridCol w:w="352"/>
        <w:gridCol w:w="264"/>
        <w:gridCol w:w="488"/>
        <w:gridCol w:w="196"/>
        <w:gridCol w:w="196"/>
        <w:gridCol w:w="196"/>
        <w:gridCol w:w="352"/>
        <w:gridCol w:w="264"/>
        <w:gridCol w:w="569"/>
      </w:tblGrid>
      <w:tr>
        <w:trPr/>
        <w:tc>
          <w:tcPr>
            <w:tcW w:w="129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product line (in millions) for the three and six months ended June 30, 2026 and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17"/>
        <w:gridCol w:w="543"/>
        <w:gridCol w:w="545"/>
        <w:gridCol w:w="211"/>
        <w:gridCol w:w="616"/>
        <w:gridCol w:w="109"/>
        <w:gridCol w:w="109"/>
        <w:gridCol w:w="109"/>
        <w:gridCol w:w="109"/>
        <w:gridCol w:w="211"/>
        <w:gridCol w:w="616"/>
        <w:gridCol w:w="109"/>
        <w:gridCol w:w="109"/>
        <w:gridCol w:w="109"/>
        <w:gridCol w:w="109"/>
        <w:gridCol w:w="253"/>
        <w:gridCol w:w="251"/>
        <w:gridCol w:w="630"/>
        <w:gridCol w:w="109"/>
        <w:gridCol w:w="109"/>
        <w:gridCol w:w="109"/>
        <w:gridCol w:w="546"/>
        <w:gridCol w:w="544"/>
        <w:gridCol w:w="1358"/>
        <w:gridCol w:w="109"/>
        <w:gridCol w:w="109"/>
        <w:gridCol w:w="109"/>
        <w:gridCol w:w="355"/>
        <w:gridCol w:w="353"/>
        <w:gridCol w:w="1030"/>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0" w:type="dxa"/>
            <w:gridSpan w:val="2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Foreign Currency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Orthopedic surgery</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6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5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surgery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Single-use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products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0" w:type="dxa"/>
            <w:gridSpan w:val="2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of Foreign Currency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Constant Currency</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Orthopedic surgery</w:t>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58"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surgery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Single-use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products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increased 0.3% in the three months ended June 30, 2026 and decreased 0.5% in the six months ended June 30, 2026 compared to the same periods a year ago. During 2026, we exited the gastroenterology product offerings, impacting net sales growth. Gastroenterology sales were $4.7 million, inclusive of $2.7 million from the manufacturing and supply agreement, in the three months ended June 30, 2026, as compared to $25.3 million in the three months ended June 30, 2025. Gastroenterology sales were $14.1 million, inclusive of $2.7 million from the manufacturing and supply agreement, in the six months ended June 30, 2026, as compared to $50.3 million in the six months ended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Orthopedic surgery sales increased 8.2% and 7.5% in the three and six months ended June 30, 2026, respectively, primarily due to growth in our powered surgical instrument, sports medicine, visualization, and BioBrace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product offerings. </w:t>
      </w:r>
    </w:p>
    <w:p>
      <w:pPr>
        <w:pStyle w:val="TextBody"/>
        <w:bidi w:val="0"/>
        <w:spacing w:before="0" w:after="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color w:val="000000"/>
          <w:sz w:val="20"/>
        </w:rPr>
        <w:t>General surgery sales decreased 5.2% and 6.2% in the three and six months ended June 30, 2026 primarily due to the exit from many products related to gastroenterology during the three and six months ended June 30, 2026 partially offset by growth in AirSeal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smoke evacuation product offerings.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decreased to $146.0 million in the three months ended June 30, 2026 as compared to $154.0 million in the three months ended June 30, 2025 and decreased to $279.6 million in the six months ended June 30, 2026 compared to $297.5 million in the six months ended June 30, 2025. Gross profit margins increased 250 basis points to 57.5% in the three months ended June 30, 2026 as compared to 55.0% in the three months ended June 30, 2025. Gross profit margins increased 250 basis points to 57.7% in the six months ended June 30, 2026 compared to 55.2% in the six months ended June 30, 2025.</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250 basis point increase in gross profit margins during the three months ended June 30, 2026 was primarily impacted by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an $8.5 million benefit from IEEPA tariff refunds in the three months ended June 30, 2026;</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a $6.9 million charge for inventory, equipment and tooling related to the discontinuation of certain products in the three months ended June 30, 2026;</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a $5.1 million charge for the engagement of consultants to evaluate and propose improvements to our supply chain and manufacturing operations during the three months ended June 30, 2025; and</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favorable foreign exchange rates and product mix.</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250 basis point increase in gross profit margins during the six months ended June 30, 2026 was primarily impacted by the following:</w:t>
      </w:r>
    </w:p>
    <w:p>
      <w:pPr>
        <w:pStyle w:val="TextBody"/>
        <w:bidi w:val="0"/>
        <w:spacing w:before="0" w:after="0"/>
        <w:ind w:left="0" w:right="0" w:firstLine="72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an $8.5 million benefit from IEEPA tariff refunds in the six months ended June 30, 2026;</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a $1.9 million benefit resulting from the termination of our distribution agreement with W.L. Gore &amp; Associates, Inc. for the Gore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VIABIL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biliary stent during the six months ended June 30, 2026;</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a $6.9 million charge for inventory, equipment and tooling related to the discontinuation of certain products in the six months ended June 30, 2026;</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an $8.5 million charge for the engagement of consultants to evaluate and propose improvements to our supply chain and manufacturing operations during the six months ended June 30, 2025; and </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 xml:space="preserve">favorable foreign exchange rates and product mix. </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Selling and Administrative Expense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expense increased to $145.6 million in the three months ended June 30, 2026 as compared to $136.0 million in the three months ended June 30, 2025 and increased to $287.3 million in the six months ended June 30, 2026 as compared to $284.9 million in the six months ended June 30, 2025. Selling and administrative expense as a percentage of net sales increased 270 basis points to 42.4% in the three months ended June 30, 2026 as compared to 39.7% in the three months ended June 30, 2025 and increased 60 basis points to 43.5% in the six months ended June 30, 2026 compared to 42.9% in the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selling and administrative expense as a percentage of sales for the three and six months ended June 30, 2026 was primarily driven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$4.4 million loss on the sale of additional assets related to the gastroenterology product offerings which constituted a business, in the three and six months ended June 30, 2026 as further described in Note 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$3.3 million of cash and stock-based compensation costs related to advisory services provided by our former Chief Financial Officer in the six months ended June 30,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of $1.7 million in costs related to fair value adjustments to contingent consideration ($0.1 million of benefit for the three months ended June 30, 2026 compared to $1.8 million of benefit for the three months ended June 30, 2025), see Note 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consulting fees, legal fees and other costs related to operational optimization of $7.1 million and $14.6 million during the three and six months ended June 30, 2026, respectively, compared to $2.5 million and $2.9 million for the three and six months ended June 30, 2025, respectively;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investment into our key growth drivers.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selling and administrative expense as a percentage of sales was partially offset by:</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$12.2 million of cash and stock-based compensation costs related to advisory services provided by our former Chief Executive Officer in the six months ended June 30,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$1.9 million and $5.9 million of benefit resulting from the gain on the sale of a product offering in the three and six months ended June 30, 2026, respectively;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decrease of $1.6 million in costs related to fair value adjustments to contingent consideration ($0.6 million of expense for the six months ended June 30, 2026 compared to $2.2 million of expense for the six months ended June 30, 2025), see Note 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in the three and six months ended June 30, 2026 was in line with the three and six months ended June 30, 2025 as a percentage of sales.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Research and Development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increased to $15.5 million in the three months ended June 30, 2026 as compared to $14.1 million in the three months ended June 30, 2025. As a percentage of net sales, research and development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increased 40 basis points to 4.5% in the three months ended June 30, 2026 as compared to 4.1% in the three months ended June 30, 2025. The increase in research and development expense as a percentage of sales was mainly driven by $1.1 million in costs to comply with the European Union's Medical Device Regulations as well as increased investments into our key growth drivers in the three months ended June 30,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to $31.8 million in the six months ended June 30, 2026 as compared to $27.1 million in the six months ended June 30, 2025. As a percentage of net sales, research and development expense increased 70 basis points to 4.8% in the six months ended June 30, 2026 compared to 4.1% in the six months ended June 30, 2025. The increase in research and development expense as a percentage of sales was mainly driven by increased investments into our key growth drivers as well as $2.3 million in costs to comply with the European Union's Medical Device Regulations in the six months ended June 30,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to $7.9 million in the three months ended June 30, 2026 from $7.8 million in the three months ended June 30, 2025. The weighted average interest rates on our borrowings increased to 2.84% in the three months ended June 30, 2026 as compared to 2.80% in the three months ended June 30, 2025. The increase in interest expense in the three months ended June 30, 2026 was driven by higher weighted average interest rates offset by lower weighted average borrowings outstanding during the three months ended June 30,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decreased to $14.9 million in the six months ended June 30, 2026 from $16.1 million in the six months ended June 30, 2025. The weighted average interest rates on our borrowings decreased to 2.80% in the six months ended June 30, 2026 as compared to 2.85% in the six months ended June 30, 2025. The change in interest expense in the six months ended June 30, 2026 was driven by lower weighted average borrowings outstanding and lower weighted average interest rates during the six months ended June 30, 2026.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recorded income of $8.1 million for the difference between the principal value of the 2.250% Notes and the amount paid to repurchase the 2.250% Notes; and expense of $3.5 million related to the write-off of deferred financing fees associated with the repurchase of $645.2 million of the 2.250% Notes and $1.8 million in related professional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for interim periods is determined using an estimate of its annual effective tax rate applied to its year-to-date earnings, and also adjusting for discrete items arising in that quarter. In each quarter, the Company updates its estimate of the annual effective tax rate and if the estimated annual effective tax rate changes, the Company would make a cumulative adjustment in that quarter.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has been recorded at an effective tax rate of 26.4% for the three months ended June 30, 2026 compared to 28.4% for the three months ended June 30, 2025. Income tax expense has been recorded at an effective tax rate of 25.8% for the six months ended June 30, 2026 compared to 27.0% for the six months ended June 30, 2025. The lower effective tax rate for the three and six months ended June 30, 2026 was primarily the result of lower expenses that were not deductible for tax, including fair value adjustments to contingent consideration, incurred during 2026 as compared to the same periods during 2025. A reconciliation of the United States statutory income tax rate to our effective tax rate is included in our Annual Report on Form 10-K for the year ended December 31, 2025 under Note 8 to the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on a "constant currency" basis is a non-GAAP measure. The Company analyzes net sales on a constant currency basis to better measure the comparability of results between periods. To measure percentage sales growth in constant currency, the Company removes the impact of changes in foreign currency exchange rates that affect the comparability and trend of net sales.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non-GAAP financial measures are not standardized, it may not be possible to compare this financial measure with other companies' non-GAAP financial measures having the same or similar names. This adjusted financial measure should not be considered in isolation or as a substitute for reported net sales growth, the most directly comparable GAAP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measure. This non-GAAP financial measure is an additional way of viewing net sales that, when viewed with our GAAP results, provides a more complete understanding of our business. The Company strongly encourages investors and shareholders to review our financial statements and publicly-filed reports in their entirety and not to rely on any single financial measure.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liquidity needs arise primarily from capital investments, working capital requirements and payments on indebtedness under the eighth amended and restated senior credit agreement. We have historically met these liquidity requirements with funds generated from operations, borrowings under our revolving credit facility and issuances of debt in the capital markets. In addition, we have historically used term borrowings, including borrowings under the eighth amended and restated senior credit agreement and borrowings under separate loan facilities, in the case of real property purchases, to finance our acquisitions, including payments of contingent consideration. We also have the ability to raise funds through the sale of stock or we may issue debt through a private placement or public offering.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Operating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net working capital position was $220.3 million at June 30, 2026.  Net cash provided by operating activities was $50.6 million and $70.7 million in the six months ended June 30, 2026 and June 30, 2025, respectively, generated on net income of $36.9 million and $27.5 million for the six months ended June 30, 2026 and 2025, respectively. Net income in the six months ended June 30, 2026 included a $4.6 million gain on extinguishment of the 2.250% Notes as well as a $1.5 million net gain on the sale of certain assets related to gastroenterology products. In addition, below is a summary of significant changes in assets and liabilities in the six months ended June 30, 2026: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cash flows from accounts receivable due to timing of sales and cash receipts;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cash flows from inventory as we increased inventory to mitigate supply chain challenges;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cash flows from accounts payable due to the timing of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cash flows from accrued compensation and benefits as a result of higher incentive compensation payments during the period;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cash flows from other assets due to the timing of payments on prepaid contracts and increases in field inventory.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cash flows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in the six months ended June 30, 2026 increased $24.3 million from the same period a year ago mainly driven by cash proceeds of $21.5 million from the sale of assets and a business related to the gastroenterology product offerings. Capital expenditures were $5.8 million in the six months ended June 30, 2026 compared to $9.5 million in the same period a year ago.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Financing cash flows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 the six months ended June 30, 2026 was $68.8 million compared to net cash used in financing activities of $54.9 million during 2025. Below is a summary of the significant financing activities impacting the change during the six months ended June 30, 2026 compared to 2025:</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During the six months ended June 30, 2026, we paid $637.2 million to repurchase $645.2 million principal value of our 2.250% Notes.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During the six months ended June 30, 2026, we had proceeds of $450.0 million in borrowings on the Term A-2 Loan to fund a portion of the 2.250% Notes repurchase.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During the six months ended June 30, 2026, we had $193.0 million in net borrowings on our revolving line of credit compared to $4.0 million in net borrowings during the six months ended June 30, 2025. The increase in borrowings was mainly to fund a portion of the 2.250% Notes repurchase.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During the six months ended June 30, 2026, we paid $43.2 million for repurchases of common stock.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During the six months ended June 30, 2026, we paid $28.9 million in contingent consideration related to the Biorez acquisition compared to $14.1 million related to the Biorez acquisition in the same period a year ago.</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During the six months ended June 30, 2025, we had net payments on our Term A-1 Loan of $29.6 million, inclusive of a $25.2 million impact on both borrowings and repayments between independent counterparties associated with the eighth amended and restated senior credit agreement.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During the six months ended June 30, 2025, we paid $12.4 million in dividends.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Liquidity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cash balances and cash flows generated from operations may be used to fund strategic investments, business acquisitions, including contingent consideration payments, working capital needs, research and development, common stock repurchases and payments of dividends to our shareholders. Management believes that cash flow from operations, including cash and cash equivalents on hand and available borrowing capacity under our eighth amended and restated senior credit agreement, will be adequate to meet our anticipated operating working capital requirements, debt service, funding of capital expenditures, and common stock repurchases in the foreseeable future. In addition, management believes we could access capital markets, as necessary, to fund future business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being impacted by the macro-economic environment and we are experiencing higher manufacturing and operating costs caused by inflationary pressures and ongoing supply chain challenges. We continue to monitor our spending and expenses in light of these factors. However, we may need to take further steps to reduce our costs, or to refinance our debt. See “Item 1A. Risk Factors" in our Annual Report on Form 10-K for the year ended December 31, 2025, for further discussion.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$40.0 million in borrowings outstanding on the Term A-1 Loan facility as of June 30, 2026. There were $193.0 million in borrowings outstanding under the revolving credit facility as of June 30, 2026. There was $450.0 million in borrowings outstanding under the Term A-2 Loan facility as of June 30, 2026. Our available borrowings on the revolving credit facility at June 30, 2026 were $455.5 million with approximately $1.5 million of the facility set aside for outstanding letters of credit.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eighth amended and restated senior credit agreement is collateralized by substantially all of our personal property and assets. The eighth amended and restated senior credit agreement contains covenants and restrictions which, among other things, require the maintenance of certain financial ratios and restrict dividend payments and the incurrence of certain indebtedness and other activities, including acquisitions and dispositions. We were in full compliance with these covenants and restrictions as of June 30, 2026. We are also required, under certain circumstances, to make mandatory prepayments with net cash proceeds from the incurrence of certain additional indebtedness, certain asset sales, or insurance proceeds or condemnation awards, in each case, subject to certain exceptions and reinvestment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6, 2022, we issued $800.0 million aggregate principal amount of 2.250% Convertible Notes due 2027 (the "2.250% Notes"). Interest is payable semi-annually in arrears on June 15 and December 15 of each year, commencing December 15, 2022. The 2.250% Notes will mature on June 15, 2027, unless earlier repurchased or converted. During the quarter ended June 30, 2026, we repurchased $645.2 million principal amount of the 2.250% Notes for cash consideration of $637.2 million. We intend to fund the maturity of the remaining 2.250% Convertible Notes using cash flows from our operations, along with capacity on our revolving credit facility. If we are unable to service our indebtedness, we will be forced to adopt an alternative strategy that may include actions such as foregoing acquisitions, reducing or delaying capital expenditures, selling assets, restructuring or refinancing our indebtedness or seeking additional equity capital.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10 for further information on our financing agreements and outstanding debt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authorized a $150.0 million share repurchase program. Through June 30, 2026, we repurchased a total of 1.0 million shares of common stock aggregating $43.7 million, inclusive of excise tax, under this program. The program calls for shares to be purchased in the open market or in private transactions from time to time. Subject to applicable law, we may suspend, modify or discontinue the program at any time. The Company expects to repurchase at least $25.0 million in shares annually with $61.8 million planned for 2026. We have financed the repurchases and may finance additional repurchases through operating cash flow and from available borrowings under our revolving credit facility. With the authorization of the share repurchase program, we have suspended our dividend payments and the Board of Directors will consider whether to declare dividends and the amount of such dividends from time to time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3 to the consolidated condensed financial statements for a discussion of new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Market risk is the potential loss arising from adverse changes in market rates and prices such as commodity prices, foreign currency exchange rates and interest rates. In the normal course of business, we are exposed to various market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including changes in foreign currency exchange rates and interest rates. We manage our exposure to these and other market risks through regular operating and financing activities and as necessary through the use of derivative financial instruments.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foreign currency risk exposure or in how the exposure is managed during the six months ended June 30, 2026.  Reference is made to Item 7A. of our Annual Report on Form 10-K for the year ended December 31, 2025 for a description of Qualitative and Quantitative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we had approximately $683.0 million of variable rate debt outstanding under our senior credit agreement. Variable interest rates on our senior credit agreement are determined using a base rate of the Term Secured Overnight Financing rate plus the applicable margin. A change of 1.0% in variable interest rates would increase or decrease quarterly interest expense by $1.7 million based on our outstanding debt as of June 30, 2026.</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an evaluation was carried out by CONMED Corporation’s management, with the participation of our Chief Executive Officer and Chief Financial Officer, of the effectiveness of our disclosure controls and procedures (as defined in Rule 13a-15(e) and 15d-15(e) under the Securities Exchange Act of 1934).  Based upon that evaluation, our Chief Executive Officer and Chief Financial Officer concluded that these disclosure controls and procedures were effective as of the end of the period covered by this report.  In addition, no change in our internal control over financial reporting (as defined in Rule 13a-15(f) and 15d-15(f) under the Securities Exchange Act of 1934) occurred during the quarter ended June 30, 2026 that has materially affected, or is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 is made to Item 3 of the Company’s Annual Report on Form 10-K for the year ended December 31, 2025 and to Note 14 of the Notes to Consolidated Condensed Financial Statements included in Part I of this Report for a description of certain legal matters.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period covered by this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the Company's common stock repurchases during the second quarter of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5"/>
        <w:gridCol w:w="318"/>
        <w:gridCol w:w="320"/>
        <w:gridCol w:w="529"/>
        <w:gridCol w:w="481"/>
        <w:gridCol w:w="483"/>
        <w:gridCol w:w="109"/>
        <w:gridCol w:w="109"/>
        <w:gridCol w:w="109"/>
        <w:gridCol w:w="305"/>
        <w:gridCol w:w="893"/>
        <w:gridCol w:w="158"/>
        <w:gridCol w:w="109"/>
        <w:gridCol w:w="109"/>
        <w:gridCol w:w="109"/>
        <w:gridCol w:w="780"/>
        <w:gridCol w:w="763"/>
        <w:gridCol w:w="765"/>
        <w:gridCol w:w="109"/>
        <w:gridCol w:w="109"/>
        <w:gridCol w:w="109"/>
        <w:gridCol w:w="395"/>
        <w:gridCol w:w="2223"/>
        <w:gridCol w:w="296"/>
      </w:tblGrid>
      <w:tr>
        <w:trPr/>
        <w:tc>
          <w:tcPr>
            <w:tcW w:w="5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Average Price Paid Per Share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Program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Amount of Shares That May Yet be Purchased Under the Program </w:t>
            </w:r>
            <w:r>
              <w:rPr>
                <w:rFonts w:ascii="Times New Roman;serif" w:hAnsi="Times New Roman;serif"/>
                <w:b/>
                <w:color w:val="000000"/>
                <w:sz w:val="13"/>
              </w:rPr>
              <w:t>(1)</w:t>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1010"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59,641 </w:t>
            </w:r>
          </w:p>
        </w:tc>
        <w:tc>
          <w:tcPr>
            <w:tcW w:w="483"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58"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59,641 </w:t>
            </w:r>
          </w:p>
        </w:tc>
        <w:tc>
          <w:tcPr>
            <w:tcW w:w="765"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110,362,962 </w:t>
            </w:r>
          </w:p>
        </w:tc>
        <w:tc>
          <w:tcPr>
            <w:tcW w:w="296"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108,192,066 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106,347,473 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w:t>
            </w:r>
          </w:p>
        </w:tc>
        <w:tc>
          <w:tcPr>
            <w:tcW w:w="149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Average price paid per share and dollar amount of shares purchased under the program includes cash paid for commissions and excise tax.</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In October 2025, our Board of Directors authorized a $150.0 million share repurchase program with no expiration.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Rule 10b5-1 Director and Officer Trading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the members of our Board of Directors or officers adopted, modified or terminated a "Rule 10b5-1 trading arrangement" or "non-Rule 10b5-1 trading arrangement", as each term is defined in Item 408 of Regulation S-K.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6"/>
        <w:gridCol w:w="294"/>
        <w:gridCol w:w="296"/>
        <w:gridCol w:w="2756"/>
        <w:gridCol w:w="2683"/>
        <w:gridCol w:w="3840"/>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md6302026ex311.htm">
              <w:r>
                <w:rPr>
                  <w:rStyle w:val="InternetLink"/>
                  <w:rFonts w:ascii="Times New Roman;serif" w:hAnsi="Times New Roman;serif"/>
                  <w:b w:val="false"/>
                  <w:color w:val="0000FF"/>
                  <w:sz w:val="20"/>
                  <w:u w:val="single"/>
                </w:rPr>
                <w:t>Certification of Patrick J. Beyer pursuant to Rule 13a-14(a) and Rule 15d-14(a) of the Securities Exchange Act, as adopted pursuant to Section 302 of the Sarbanes-Oxley Act of 2002.</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md6302026ex312.htm">
              <w:r>
                <w:rPr>
                  <w:rStyle w:val="InternetLink"/>
                  <w:rFonts w:ascii="Times New Roman;serif" w:hAnsi="Times New Roman;serif"/>
                  <w:b w:val="false"/>
                  <w:color w:val="0000FF"/>
                  <w:sz w:val="20"/>
                  <w:u w:val="single"/>
                </w:rPr>
                <w:t>Certification of John E. Gallagher pursuant to Rule 13a-14(a) or Rule 15d-14(a) of the Securities Exchange Act, as adopted pursuant to Section 302 of the Sarbanes-Oxley Act of 2002.</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md6302026ex321.htm">
              <w:r>
                <w:rPr>
                  <w:rStyle w:val="InternetLink"/>
                  <w:rFonts w:ascii="Times New Roman;serif" w:hAnsi="Times New Roman;serif"/>
                  <w:b w:val="false"/>
                  <w:color w:val="0000FF"/>
                  <w:sz w:val="20"/>
                  <w:u w:val="single"/>
                </w:rPr>
                <w:t>Certifications of Patrick J. Beyer and John E. Gallagher pursuant to 18 U.S.C. Section 1350, as adopted pursuant to Section 906 of the Sarbanes-Oxley Act of 2002.</w:t>
              </w:r>
            </w:hyperlink>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 Interactive Data File - the cover page XBRL tags are embedded within the Inline XBRL document (included in Exhibit 101)</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a204bd7814942659e1a1e57b666ce53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the date indicated below.</w:t>
      </w:r>
    </w:p>
    <w:p>
      <w:pPr>
        <w:pStyle w:val="TextBody"/>
        <w:bidi w:val="0"/>
        <w:spacing w:before="0" w:after="0"/>
        <w:jc w:val="both"/>
        <w:rPr/>
      </w:pPr>
      <w:r>
        <w:rPr/>
      </w:r>
    </w:p>
    <w:tbl>
      <w:tblPr>
        <w:tblW w:w="37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14"/>
        <w:gridCol w:w="914"/>
        <w:gridCol w:w="1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CONMED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By: /s/ John E. Gallagher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 Gallagher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 &amp;</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Patrick J. Beyer,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CONMED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July 29, 2026 </w:t>
      </w:r>
    </w:p>
    <w:tbl>
      <w:tblPr>
        <w:tblW w:w="3402" w:type="dxa"/>
        <w:jc w:val="center"/>
        <w:tblInd w:w="0" w:type="dxa"/>
        <w:tblLayout w:type="fixed"/>
        <w:tblCellMar>
          <w:top w:w="28" w:type="dxa"/>
          <w:left w:w="28" w:type="dxa"/>
          <w:bottom w:w="28" w:type="dxa"/>
          <w:right w:w="28" w:type="dxa"/>
        </w:tblCellMar>
      </w:tblPr>
      <w:tblGrid>
        <w:gridCol w:w="124"/>
        <w:gridCol w:w="109"/>
        <w:gridCol w:w="109"/>
        <w:gridCol w:w="892"/>
        <w:gridCol w:w="892"/>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J. Beyer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Patrick J. Beyer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John Gallagher,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CONMED Corporation;</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July 29, 2026 </w:t>
      </w:r>
    </w:p>
    <w:tbl>
      <w:tblPr>
        <w:tblW w:w="3462" w:type="dxa"/>
        <w:jc w:val="center"/>
        <w:tblInd w:w="0" w:type="dxa"/>
        <w:tblLayout w:type="fixed"/>
        <w:tblCellMar>
          <w:top w:w="28" w:type="dxa"/>
          <w:left w:w="28" w:type="dxa"/>
          <w:bottom w:w="28" w:type="dxa"/>
          <w:right w:w="28" w:type="dxa"/>
        </w:tblCellMar>
      </w:tblPr>
      <w:tblGrid>
        <w:gridCol w:w="124"/>
        <w:gridCol w:w="109"/>
        <w:gridCol w:w="109"/>
        <w:gridCol w:w="914"/>
        <w:gridCol w:w="914"/>
        <w:gridCol w:w="1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E. Gallagher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 Gallagher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 &amp;</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CONMED Corporation, a Delaware corporation (the “Corporation”), does hereby certify that: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June 30, 2026 (the “Form 10-Q”)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pStyle w:val="TextBody"/>
        <w:bidi w:val="0"/>
        <w:spacing w:before="0" w:after="0"/>
        <w:jc w:val="left"/>
        <w:rPr/>
      </w:pPr>
      <w:r>
        <w:rPr/>
      </w:r>
    </w:p>
    <w:p>
      <w:pPr>
        <w:pStyle w:val="TextBody"/>
        <w:bidi w:val="0"/>
        <w:spacing w:before="0" w:after="0"/>
        <w:jc w:val="left"/>
        <w:rPr/>
      </w:pPr>
      <w:r>
        <w:rPr/>
      </w:r>
    </w:p>
    <w:tbl>
      <w:tblPr>
        <w:tblW w:w="488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909"/>
        <w:gridCol w:w="909"/>
        <w:gridCol w:w="13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J. Beyer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Patrick J. Beyer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E. Gallagher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 Gallagher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 &amp;</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15265</Words>
  <Characters>83038</Characters>
  <CharactersWithSpaces>97122</CharactersWithSpaces>
  <Paragraphs>2437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